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F331D" w14:textId="3BFF07F1" w:rsidR="00862D80" w:rsidRDefault="00116CEA" w:rsidP="007E2046">
      <w:pPr>
        <w:pBdr>
          <w:top w:val="single" w:sz="4" w:space="1" w:color="auto"/>
          <w:left w:val="single" w:sz="4" w:space="4" w:color="auto"/>
          <w:bottom w:val="single" w:sz="4" w:space="1" w:color="auto"/>
          <w:right w:val="single" w:sz="4" w:space="4" w:color="auto"/>
        </w:pBdr>
        <w:ind w:left="-993" w:right="-999"/>
        <w:jc w:val="center"/>
        <w:rPr>
          <w:rFonts w:ascii="Arial" w:hAnsi="Arial" w:cs="Arial"/>
          <w:b/>
        </w:rPr>
      </w:pPr>
      <w:r>
        <w:rPr>
          <w:rFonts w:ascii="Arial" w:hAnsi="Arial" w:cs="Arial"/>
          <w:b/>
        </w:rPr>
        <w:t xml:space="preserve">EMC : </w:t>
      </w:r>
      <w:r w:rsidR="007E2046">
        <w:rPr>
          <w:rFonts w:ascii="Arial" w:hAnsi="Arial" w:cs="Arial"/>
          <w:b/>
        </w:rPr>
        <w:t>Les inégalités salariales entre hommes et femmes</w:t>
      </w:r>
    </w:p>
    <w:p w14:paraId="65EAA7CA" w14:textId="77777777" w:rsidR="007E2046" w:rsidRDefault="007E2046" w:rsidP="007E2046">
      <w:pPr>
        <w:ind w:left="-993" w:right="-999"/>
        <w:jc w:val="center"/>
        <w:rPr>
          <w:rFonts w:ascii="Arial" w:hAnsi="Arial" w:cs="Arial"/>
          <w:b/>
        </w:rPr>
      </w:pPr>
    </w:p>
    <w:p w14:paraId="7633EEB5" w14:textId="77777777" w:rsidR="007E2046" w:rsidRPr="00DA579C" w:rsidRDefault="00DA579C" w:rsidP="001C693F">
      <w:pPr>
        <w:ind w:left="-993" w:right="-999"/>
        <w:jc w:val="center"/>
        <w:rPr>
          <w:rFonts w:ascii="Arial" w:hAnsi="Arial" w:cs="Arial"/>
          <w:b/>
          <w:bCs/>
          <w:sz w:val="22"/>
          <w:szCs w:val="22"/>
        </w:rPr>
      </w:pPr>
      <w:r w:rsidRPr="00DA579C">
        <w:rPr>
          <w:rFonts w:ascii="Arial" w:hAnsi="Arial" w:cs="Arial"/>
          <w:b/>
          <w:bCs/>
          <w:sz w:val="22"/>
          <w:szCs w:val="22"/>
          <w:u w:val="single"/>
        </w:rPr>
        <w:t>Document 1</w:t>
      </w:r>
      <w:r>
        <w:rPr>
          <w:rFonts w:ascii="Arial" w:hAnsi="Arial" w:cs="Arial"/>
          <w:b/>
          <w:bCs/>
          <w:sz w:val="22"/>
          <w:szCs w:val="22"/>
        </w:rPr>
        <w:t xml:space="preserve">. </w:t>
      </w:r>
      <w:r w:rsidR="007E2046" w:rsidRPr="007E2046">
        <w:rPr>
          <w:rFonts w:ascii="Arial" w:hAnsi="Arial" w:cs="Arial"/>
          <w:b/>
          <w:bCs/>
          <w:sz w:val="22"/>
          <w:szCs w:val="22"/>
        </w:rPr>
        <w:t>Inégalité salariale: Les femmes appelées à se mettre en grève à partir du 3 novembre à 11h44</w:t>
      </w:r>
      <w:r>
        <w:rPr>
          <w:rFonts w:ascii="Arial" w:hAnsi="Arial" w:cs="Arial"/>
          <w:b/>
          <w:bCs/>
          <w:sz w:val="22"/>
          <w:szCs w:val="22"/>
        </w:rPr>
        <w:t xml:space="preserve"> (</w:t>
      </w:r>
      <w:r>
        <w:rPr>
          <w:rFonts w:ascii="Arial" w:hAnsi="Arial" w:cs="Arial"/>
          <w:b/>
          <w:bCs/>
          <w:i/>
          <w:sz w:val="22"/>
          <w:szCs w:val="22"/>
        </w:rPr>
        <w:t>20 minutes</w:t>
      </w:r>
      <w:r>
        <w:rPr>
          <w:rFonts w:ascii="Arial" w:hAnsi="Arial" w:cs="Arial"/>
          <w:b/>
          <w:bCs/>
          <w:sz w:val="22"/>
          <w:szCs w:val="22"/>
        </w:rPr>
        <w:t>, 26/10/2017)</w:t>
      </w:r>
    </w:p>
    <w:p w14:paraId="41599F66" w14:textId="77777777" w:rsidR="007E2046" w:rsidRDefault="007E2046" w:rsidP="007E2046">
      <w:pPr>
        <w:ind w:left="-993" w:right="-999"/>
        <w:jc w:val="both"/>
        <w:rPr>
          <w:rFonts w:ascii="Arial" w:hAnsi="Arial" w:cs="Arial"/>
          <w:sz w:val="22"/>
          <w:szCs w:val="22"/>
        </w:rPr>
      </w:pPr>
    </w:p>
    <w:p w14:paraId="2644D975" w14:textId="135F0068" w:rsidR="00DA579C" w:rsidRPr="0079093A" w:rsidRDefault="001C693F" w:rsidP="00DA579C">
      <w:pPr>
        <w:ind w:left="-993" w:right="-999"/>
        <w:jc w:val="both"/>
        <w:rPr>
          <w:rFonts w:ascii="Arial" w:hAnsi="Arial" w:cs="Arial"/>
          <w:sz w:val="22"/>
          <w:szCs w:val="22"/>
        </w:rPr>
      </w:pPr>
      <w:r>
        <w:rPr>
          <w:rFonts w:ascii="Arial" w:hAnsi="Arial" w:cs="Arial"/>
          <w:sz w:val="22"/>
          <w:szCs w:val="22"/>
        </w:rPr>
        <w:tab/>
      </w:r>
      <w:r w:rsidR="00DA579C" w:rsidRPr="0079093A">
        <w:rPr>
          <w:rFonts w:ascii="Arial" w:hAnsi="Arial" w:cs="Arial"/>
          <w:sz w:val="22"/>
          <w:szCs w:val="22"/>
        </w:rPr>
        <w:t>« S’il y avait une égalité des salaires en France, elles [les femmes] pourraient s’arrêter de travailler le vendredi 3 novembre 2017 à 11h44 et gagner autant sur l’année 2017 ». Selon les calculs du collectif les </w:t>
      </w:r>
      <w:r w:rsidR="00DA579C" w:rsidRPr="0079093A">
        <w:rPr>
          <w:rFonts w:ascii="Arial" w:hAnsi="Arial" w:cs="Arial"/>
          <w:sz w:val="22"/>
          <w:szCs w:val="22"/>
        </w:rPr>
        <w:fldChar w:fldCharType="begin"/>
      </w:r>
      <w:r w:rsidR="00DA579C" w:rsidRPr="0079093A">
        <w:rPr>
          <w:rFonts w:ascii="Arial" w:hAnsi="Arial" w:cs="Arial"/>
          <w:sz w:val="22"/>
          <w:szCs w:val="22"/>
        </w:rPr>
        <w:instrText xml:space="preserve"> HYPERLINK "https://lesglorieuses.fr/3novembre11h44/" \t "_blank" </w:instrText>
      </w:r>
      <w:r w:rsidR="00DA579C" w:rsidRPr="0079093A">
        <w:rPr>
          <w:rFonts w:ascii="Arial" w:hAnsi="Arial" w:cs="Arial"/>
          <w:sz w:val="22"/>
          <w:szCs w:val="22"/>
        </w:rPr>
      </w:r>
      <w:r w:rsidR="00DA579C" w:rsidRPr="0079093A">
        <w:rPr>
          <w:rFonts w:ascii="Arial" w:hAnsi="Arial" w:cs="Arial"/>
          <w:sz w:val="22"/>
          <w:szCs w:val="22"/>
        </w:rPr>
        <w:fldChar w:fldCharType="separate"/>
      </w:r>
      <w:r w:rsidR="00DA579C" w:rsidRPr="0079093A">
        <w:rPr>
          <w:rStyle w:val="Lienhypertexte"/>
          <w:rFonts w:ascii="Arial" w:hAnsi="Arial" w:cs="Arial"/>
          <w:color w:val="auto"/>
          <w:sz w:val="22"/>
          <w:szCs w:val="22"/>
          <w:u w:val="none"/>
        </w:rPr>
        <w:t>Glorieuses</w:t>
      </w:r>
      <w:r w:rsidR="00DA579C" w:rsidRPr="0079093A">
        <w:rPr>
          <w:rFonts w:ascii="Arial" w:hAnsi="Arial" w:cs="Arial"/>
          <w:sz w:val="22"/>
          <w:szCs w:val="22"/>
        </w:rPr>
        <w:fldChar w:fldCharType="end"/>
      </w:r>
      <w:r w:rsidR="00DA579C" w:rsidRPr="0079093A">
        <w:rPr>
          <w:rFonts w:ascii="Arial" w:hAnsi="Arial" w:cs="Arial"/>
          <w:sz w:val="22"/>
          <w:szCs w:val="22"/>
        </w:rPr>
        <w:t>, à partir du 3 novembre à 11h44 et 9 secondes, les femmes travailleront donc « gratuitement » jusqu’à la fin de l’année 2017.</w:t>
      </w:r>
    </w:p>
    <w:p w14:paraId="3A572955" w14:textId="3E9F5E89" w:rsidR="00DA579C" w:rsidRPr="0079093A" w:rsidRDefault="001C693F" w:rsidP="00DA579C">
      <w:pPr>
        <w:ind w:left="-993" w:right="-999"/>
        <w:jc w:val="both"/>
        <w:rPr>
          <w:rFonts w:ascii="Arial" w:hAnsi="Arial" w:cs="Arial"/>
          <w:sz w:val="22"/>
          <w:szCs w:val="22"/>
        </w:rPr>
      </w:pPr>
      <w:r w:rsidRPr="0079093A">
        <w:rPr>
          <w:rFonts w:ascii="Arial" w:hAnsi="Arial" w:cs="Arial"/>
          <w:sz w:val="22"/>
          <w:szCs w:val="22"/>
        </w:rPr>
        <w:tab/>
      </w:r>
      <w:r w:rsidR="00DA579C" w:rsidRPr="0079093A">
        <w:rPr>
          <w:rFonts w:ascii="Arial" w:hAnsi="Arial" w:cs="Arial"/>
          <w:sz w:val="22"/>
          <w:szCs w:val="22"/>
        </w:rPr>
        <w:t>Pour combler </w:t>
      </w:r>
      <w:hyperlink r:id="rId7" w:history="1">
        <w:r w:rsidR="00DA579C" w:rsidRPr="0079093A">
          <w:rPr>
            <w:rStyle w:val="Lienhypertexte"/>
            <w:rFonts w:ascii="Arial" w:hAnsi="Arial" w:cs="Arial"/>
            <w:color w:val="auto"/>
            <w:sz w:val="22"/>
            <w:szCs w:val="22"/>
            <w:u w:val="none"/>
          </w:rPr>
          <w:t>l’inégalité salariale femmes-hommes</w:t>
        </w:r>
      </w:hyperlink>
      <w:r w:rsidR="00DA579C" w:rsidRPr="0079093A">
        <w:rPr>
          <w:rFonts w:ascii="Arial" w:hAnsi="Arial" w:cs="Arial"/>
          <w:sz w:val="22"/>
          <w:szCs w:val="22"/>
        </w:rPr>
        <w:t> en France, le collectif appelle les femmes à se mobiliser à partir de cette date.</w:t>
      </w:r>
    </w:p>
    <w:p w14:paraId="3CD974D3" w14:textId="625644A4" w:rsidR="00DA579C" w:rsidRPr="0079093A" w:rsidRDefault="001C693F" w:rsidP="00DA579C">
      <w:pPr>
        <w:ind w:left="-993" w:right="-999"/>
        <w:jc w:val="both"/>
        <w:rPr>
          <w:rFonts w:ascii="Arial" w:hAnsi="Arial" w:cs="Arial"/>
          <w:b/>
          <w:bCs/>
          <w:sz w:val="22"/>
          <w:szCs w:val="22"/>
        </w:rPr>
      </w:pPr>
      <w:r w:rsidRPr="0079093A">
        <w:rPr>
          <w:rFonts w:ascii="Arial" w:hAnsi="Arial" w:cs="Arial"/>
          <w:b/>
          <w:bCs/>
          <w:sz w:val="22"/>
          <w:szCs w:val="22"/>
        </w:rPr>
        <w:tab/>
      </w:r>
      <w:r w:rsidR="00DA579C" w:rsidRPr="0079093A">
        <w:rPr>
          <w:rFonts w:ascii="Arial" w:hAnsi="Arial" w:cs="Arial"/>
          <w:b/>
          <w:bCs/>
          <w:sz w:val="22"/>
          <w:szCs w:val="22"/>
        </w:rPr>
        <w:t>Près de 40 jours ouvrés travaillés « gratuitement »</w:t>
      </w:r>
    </w:p>
    <w:p w14:paraId="7D639F69" w14:textId="02FA95ED" w:rsidR="00DA579C" w:rsidRPr="0079093A" w:rsidRDefault="001C693F" w:rsidP="00DA579C">
      <w:pPr>
        <w:ind w:left="-993" w:right="-999"/>
        <w:jc w:val="both"/>
        <w:rPr>
          <w:rFonts w:ascii="Arial" w:hAnsi="Arial" w:cs="Arial"/>
          <w:sz w:val="22"/>
          <w:szCs w:val="22"/>
        </w:rPr>
      </w:pPr>
      <w:r w:rsidRPr="0079093A">
        <w:rPr>
          <w:rFonts w:ascii="Arial" w:hAnsi="Arial" w:cs="Arial"/>
          <w:sz w:val="22"/>
          <w:szCs w:val="22"/>
        </w:rPr>
        <w:tab/>
      </w:r>
      <w:r w:rsidR="00DA579C" w:rsidRPr="0079093A">
        <w:rPr>
          <w:rFonts w:ascii="Arial" w:hAnsi="Arial" w:cs="Arial"/>
          <w:sz w:val="22"/>
          <w:szCs w:val="22"/>
        </w:rPr>
        <w:t>L’an dernier, toujours selon les calculs du collectif, les Françaises travaillaient bénévolement </w:t>
      </w:r>
      <w:hyperlink r:id="rId8" w:history="1">
        <w:r w:rsidR="00DA579C" w:rsidRPr="0079093A">
          <w:rPr>
            <w:rStyle w:val="Lienhypertexte"/>
            <w:rFonts w:ascii="Arial" w:hAnsi="Arial" w:cs="Arial"/>
            <w:color w:val="auto"/>
            <w:sz w:val="22"/>
            <w:szCs w:val="22"/>
            <w:u w:val="none"/>
          </w:rPr>
          <w:t>à partir du 7 novembre à 16h34 et 7 secondes</w:t>
        </w:r>
      </w:hyperlink>
      <w:r w:rsidR="00DA579C" w:rsidRPr="0079093A">
        <w:rPr>
          <w:rFonts w:ascii="Arial" w:hAnsi="Arial" w:cs="Arial"/>
          <w:sz w:val="22"/>
          <w:szCs w:val="22"/>
        </w:rPr>
        <w:t>, soit quatre jours plus tard qu’en 2017.</w:t>
      </w:r>
    </w:p>
    <w:p w14:paraId="71E77A66" w14:textId="0A99C94D" w:rsidR="00DA579C" w:rsidRPr="0079093A" w:rsidRDefault="000F777B" w:rsidP="00DA579C">
      <w:pPr>
        <w:ind w:left="-993" w:right="-999"/>
        <w:jc w:val="both"/>
        <w:rPr>
          <w:rFonts w:ascii="Arial" w:hAnsi="Arial" w:cs="Arial"/>
          <w:sz w:val="22"/>
          <w:szCs w:val="22"/>
        </w:rPr>
      </w:pPr>
      <w:r>
        <w:rPr>
          <w:rFonts w:ascii="Arial" w:hAnsi="Arial" w:cs="Arial"/>
          <w:sz w:val="22"/>
          <w:szCs w:val="22"/>
        </w:rPr>
        <w:tab/>
      </w:r>
      <w:bookmarkStart w:id="0" w:name="_GoBack"/>
      <w:bookmarkEnd w:id="0"/>
      <w:r w:rsidR="00DA579C" w:rsidRPr="0079093A">
        <w:rPr>
          <w:rFonts w:ascii="Arial" w:hAnsi="Arial" w:cs="Arial"/>
          <w:sz w:val="22"/>
          <w:szCs w:val="22"/>
        </w:rPr>
        <w:t>Selon le communiqué du collectif, en étant payées 15,8 % de moins que les hommes, les femmes travaillent cette année « gratuitement » pendant 39,7 jours ouvrés. « Il y a un recul de l’égalité salariale en France. Cet écart de rémunération est plus important que celui de la dernière étude d’Eurostat (données de 2010) », </w:t>
      </w:r>
      <w:r w:rsidR="00DA579C" w:rsidRPr="0079093A">
        <w:rPr>
          <w:rFonts w:ascii="Arial" w:hAnsi="Arial" w:cs="Arial"/>
          <w:sz w:val="22"/>
          <w:szCs w:val="22"/>
        </w:rPr>
        <w:fldChar w:fldCharType="begin"/>
      </w:r>
      <w:r w:rsidR="00DA579C" w:rsidRPr="0079093A">
        <w:rPr>
          <w:rFonts w:ascii="Arial" w:hAnsi="Arial" w:cs="Arial"/>
          <w:sz w:val="22"/>
          <w:szCs w:val="22"/>
        </w:rPr>
        <w:instrText xml:space="preserve"> HYPERLINK "https://lesglorieuses.fr/3novembre11h44/" \t "_blank" </w:instrText>
      </w:r>
      <w:r w:rsidR="00DA579C" w:rsidRPr="0079093A">
        <w:rPr>
          <w:rFonts w:ascii="Arial" w:hAnsi="Arial" w:cs="Arial"/>
          <w:sz w:val="22"/>
          <w:szCs w:val="22"/>
        </w:rPr>
      </w:r>
      <w:r w:rsidR="00DA579C" w:rsidRPr="0079093A">
        <w:rPr>
          <w:rFonts w:ascii="Arial" w:hAnsi="Arial" w:cs="Arial"/>
          <w:sz w:val="22"/>
          <w:szCs w:val="22"/>
        </w:rPr>
        <w:fldChar w:fldCharType="separate"/>
      </w:r>
      <w:r w:rsidR="00DA579C" w:rsidRPr="0079093A">
        <w:rPr>
          <w:rStyle w:val="Lienhypertexte"/>
          <w:rFonts w:ascii="Arial" w:hAnsi="Arial" w:cs="Arial"/>
          <w:color w:val="auto"/>
          <w:sz w:val="22"/>
          <w:szCs w:val="22"/>
          <w:u w:val="none"/>
        </w:rPr>
        <w:t>peut-on lire sur le site du collectif</w:t>
      </w:r>
      <w:r w:rsidR="00DA579C" w:rsidRPr="0079093A">
        <w:rPr>
          <w:rFonts w:ascii="Arial" w:hAnsi="Arial" w:cs="Arial"/>
          <w:sz w:val="22"/>
          <w:szCs w:val="22"/>
        </w:rPr>
        <w:fldChar w:fldCharType="end"/>
      </w:r>
      <w:r w:rsidR="00DA579C" w:rsidRPr="0079093A">
        <w:rPr>
          <w:rFonts w:ascii="Arial" w:hAnsi="Arial" w:cs="Arial"/>
          <w:sz w:val="22"/>
          <w:szCs w:val="22"/>
        </w:rPr>
        <w:t>.</w:t>
      </w:r>
    </w:p>
    <w:p w14:paraId="584F939D" w14:textId="77777777" w:rsidR="00DA579C" w:rsidRPr="00DA579C" w:rsidRDefault="00DA579C" w:rsidP="00DA579C">
      <w:pPr>
        <w:ind w:left="-993" w:right="-999"/>
        <w:jc w:val="both"/>
        <w:rPr>
          <w:rFonts w:ascii="Arial" w:hAnsi="Arial" w:cs="Arial"/>
          <w:sz w:val="22"/>
          <w:szCs w:val="22"/>
        </w:rPr>
      </w:pPr>
    </w:p>
    <w:p w14:paraId="7FDED1E9" w14:textId="77777777" w:rsidR="00DA579C" w:rsidRDefault="00DA579C" w:rsidP="007E2046">
      <w:pPr>
        <w:ind w:left="-993" w:right="-999"/>
        <w:jc w:val="both"/>
        <w:rPr>
          <w:rFonts w:ascii="Arial" w:hAnsi="Arial" w:cs="Arial"/>
          <w:sz w:val="22"/>
          <w:szCs w:val="22"/>
        </w:rPr>
      </w:pPr>
      <w:r>
        <w:rPr>
          <w:rFonts w:ascii="Arial" w:hAnsi="Arial" w:cs="Arial"/>
          <w:sz w:val="22"/>
          <w:szCs w:val="22"/>
        </w:rPr>
        <w:t>1) Quel élément est dénoncé par le collectif « les Glorieuses » ?</w:t>
      </w:r>
    </w:p>
    <w:p w14:paraId="2227DCB8" w14:textId="77777777" w:rsidR="00DA579C" w:rsidRDefault="00DA579C" w:rsidP="007E2046">
      <w:pPr>
        <w:ind w:left="-993" w:right="-999"/>
        <w:jc w:val="both"/>
        <w:rPr>
          <w:rFonts w:ascii="Arial" w:hAnsi="Arial" w:cs="Arial"/>
          <w:sz w:val="22"/>
          <w:szCs w:val="22"/>
        </w:rPr>
      </w:pPr>
    </w:p>
    <w:p w14:paraId="6E4B4918" w14:textId="77777777" w:rsidR="00DA579C" w:rsidRDefault="00DA579C" w:rsidP="007E2046">
      <w:pPr>
        <w:ind w:left="-993" w:right="-999"/>
        <w:jc w:val="both"/>
        <w:rPr>
          <w:rFonts w:ascii="Arial" w:hAnsi="Arial" w:cs="Arial"/>
          <w:sz w:val="22"/>
          <w:szCs w:val="22"/>
        </w:rPr>
      </w:pPr>
      <w:r>
        <w:rPr>
          <w:rFonts w:ascii="Arial" w:hAnsi="Arial" w:cs="Arial"/>
          <w:sz w:val="22"/>
          <w:szCs w:val="22"/>
        </w:rPr>
        <w:t>2) Comment appelle-t-il à lutter contre ce phénomène ?</w:t>
      </w:r>
    </w:p>
    <w:p w14:paraId="59401E25" w14:textId="77777777" w:rsidR="00DA579C" w:rsidRDefault="00DA579C" w:rsidP="007E2046">
      <w:pPr>
        <w:ind w:left="-993" w:right="-999"/>
        <w:jc w:val="both"/>
        <w:rPr>
          <w:rFonts w:ascii="Arial" w:hAnsi="Arial" w:cs="Arial"/>
          <w:sz w:val="22"/>
          <w:szCs w:val="22"/>
        </w:rPr>
      </w:pPr>
    </w:p>
    <w:p w14:paraId="0BD1582C" w14:textId="77777777" w:rsidR="00DA579C" w:rsidRDefault="00DA579C" w:rsidP="007E2046">
      <w:pPr>
        <w:ind w:left="-993" w:right="-999"/>
        <w:jc w:val="both"/>
        <w:rPr>
          <w:rFonts w:ascii="Arial" w:hAnsi="Arial" w:cs="Arial"/>
          <w:sz w:val="22"/>
          <w:szCs w:val="22"/>
        </w:rPr>
      </w:pPr>
      <w:r>
        <w:rPr>
          <w:rFonts w:ascii="Arial" w:hAnsi="Arial" w:cs="Arial"/>
          <w:sz w:val="22"/>
          <w:szCs w:val="22"/>
        </w:rPr>
        <w:t>3) D’après vous, comment ce phénomène peut-il s’expliquer ?</w:t>
      </w:r>
    </w:p>
    <w:p w14:paraId="79304495" w14:textId="77777777" w:rsidR="0041009F" w:rsidRDefault="0041009F" w:rsidP="007E2046">
      <w:pPr>
        <w:ind w:left="-993" w:right="-999"/>
        <w:jc w:val="both"/>
        <w:rPr>
          <w:rFonts w:ascii="Arial" w:hAnsi="Arial" w:cs="Arial"/>
          <w:sz w:val="22"/>
          <w:szCs w:val="22"/>
        </w:rPr>
      </w:pPr>
    </w:p>
    <w:p w14:paraId="2294337B" w14:textId="77777777" w:rsidR="001C693F" w:rsidRDefault="001C693F" w:rsidP="007E2046">
      <w:pPr>
        <w:ind w:left="-993" w:right="-999"/>
        <w:jc w:val="both"/>
        <w:rPr>
          <w:rFonts w:ascii="Arial" w:hAnsi="Arial" w:cs="Arial"/>
          <w:sz w:val="22"/>
          <w:szCs w:val="22"/>
        </w:rPr>
      </w:pPr>
    </w:p>
    <w:p w14:paraId="2A87AF61" w14:textId="77777777" w:rsidR="001C693F" w:rsidRDefault="001C693F" w:rsidP="007E2046">
      <w:pPr>
        <w:ind w:left="-993" w:right="-999"/>
        <w:jc w:val="both"/>
        <w:rPr>
          <w:rFonts w:ascii="Arial" w:hAnsi="Arial" w:cs="Arial"/>
          <w:sz w:val="22"/>
          <w:szCs w:val="22"/>
        </w:rPr>
      </w:pPr>
    </w:p>
    <w:p w14:paraId="240FF1F8" w14:textId="236A6641" w:rsidR="001C693F" w:rsidRPr="001C693F" w:rsidRDefault="001C693F" w:rsidP="001C693F">
      <w:pPr>
        <w:ind w:left="-993" w:right="-999"/>
        <w:jc w:val="center"/>
        <w:rPr>
          <w:rFonts w:ascii="Arial" w:hAnsi="Arial" w:cs="Arial"/>
          <w:b/>
          <w:bCs/>
        </w:rPr>
      </w:pPr>
      <w:r w:rsidRPr="001C693F">
        <w:rPr>
          <w:rFonts w:ascii="Arial" w:hAnsi="Arial" w:cs="Arial"/>
          <w:b/>
          <w:bCs/>
          <w:u w:val="single"/>
        </w:rPr>
        <w:t>Document 2</w:t>
      </w:r>
      <w:r>
        <w:rPr>
          <w:rFonts w:ascii="Arial" w:hAnsi="Arial" w:cs="Arial"/>
          <w:b/>
          <w:bCs/>
        </w:rPr>
        <w:t xml:space="preserve">. </w:t>
      </w:r>
      <w:r w:rsidRPr="001C693F">
        <w:rPr>
          <w:rFonts w:ascii="Arial" w:hAnsi="Arial" w:cs="Arial"/>
          <w:b/>
          <w:bCs/>
        </w:rPr>
        <w:t>Le jour de l’année où les femmes pourraient cesser de travailler n’est pas le 3 novembre mais le 28 septembre, et même… le 4 août !</w:t>
      </w:r>
      <w:r>
        <w:rPr>
          <w:rFonts w:ascii="Arial" w:hAnsi="Arial" w:cs="Arial"/>
          <w:b/>
          <w:bCs/>
        </w:rPr>
        <w:t xml:space="preserve"> (</w:t>
      </w:r>
      <w:r>
        <w:rPr>
          <w:rFonts w:ascii="Arial" w:hAnsi="Arial" w:cs="Arial"/>
          <w:b/>
          <w:bCs/>
          <w:i/>
        </w:rPr>
        <w:t>Alternatives économiques</w:t>
      </w:r>
      <w:r>
        <w:rPr>
          <w:rFonts w:ascii="Arial" w:hAnsi="Arial" w:cs="Arial"/>
          <w:b/>
          <w:bCs/>
        </w:rPr>
        <w:t>, 2/11/2017)</w:t>
      </w:r>
    </w:p>
    <w:p w14:paraId="4BC3F599" w14:textId="77777777" w:rsidR="0041009F" w:rsidRDefault="0041009F" w:rsidP="007E2046">
      <w:pPr>
        <w:ind w:left="-993" w:right="-999"/>
        <w:jc w:val="both"/>
        <w:rPr>
          <w:rFonts w:ascii="Arial" w:hAnsi="Arial" w:cs="Arial"/>
          <w:sz w:val="22"/>
          <w:szCs w:val="22"/>
        </w:rPr>
      </w:pPr>
    </w:p>
    <w:p w14:paraId="507BB6A1" w14:textId="325FF0D5"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Nous sommes le 3 novembre, jour considéré cette année comme le « equal pay day ». C’est le jour où les femmes ayant un emploi pourraient s’arrêter de travailler, en gagnant autant sur l’année 2017, si leur salaire HORAIRE moyen était identique à celui des hommes.</w:t>
      </w:r>
    </w:p>
    <w:p w14:paraId="351A2C2F" w14:textId="25A6F7FE"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Le calcul de cette date pour la France s’appuie sur le fait que le salaire HORAIRE moyen des femmes serait, selon Eurostat, inférieur de 15 à 16 % à celui des hommes. Si, du premier janvier au 3 novembre, le salaire horaire des femmes égalait celui des hommes, alors elles pourraient se mettre au repos jusqu’au 31 décembre en gagnant autant qu’aujourd’hui sur l’année.</w:t>
      </w:r>
    </w:p>
    <w:p w14:paraId="481DDDEA" w14:textId="1184923C"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Cette façon de rendre visible une inégalité et d’en faire parler, y compris internationalement, sur un mode plus parlant qu’un pourcentage d’écart, est très intéressante. Mais dans le cas présent, le calcul de la date du 3 novembre sous-estime très fortement les inégalités professionnelles et salariales entre les femmes et les hommes. Pour deux raisons.</w:t>
      </w:r>
    </w:p>
    <w:p w14:paraId="3CD747DA" w14:textId="39335D32"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LE 28 SEPTEMBRE !</w:t>
      </w:r>
    </w:p>
    <w:p w14:paraId="29EC5AFA" w14:textId="25EABBCD"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La première, la plus connue, est que la durée moyenne du travail des hommes est nettement supérieure à celle des femmes, notamment parce que le temps partiel est féminin à 80 %. Le « temps de travail hebdomadaire habituel dans l’emploi principal » des hommes est supérieur de 15,9 % à celui des femmes, selon l’enquête conditions de travail 2013.</w:t>
      </w:r>
    </w:p>
    <w:p w14:paraId="6B6AE80F" w14:textId="028B2A13"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Conséquence : les écarts de salaire </w:t>
      </w:r>
      <w:r w:rsidRPr="001C693F">
        <w:rPr>
          <w:rFonts w:ascii="Arial" w:hAnsi="Arial" w:cs="Arial"/>
          <w:b/>
          <w:bCs/>
          <w:sz w:val="22"/>
          <w:szCs w:val="22"/>
        </w:rPr>
        <w:t>mensuel</w:t>
      </w:r>
      <w:r w:rsidRPr="001C693F">
        <w:rPr>
          <w:rFonts w:ascii="Arial" w:hAnsi="Arial" w:cs="Arial"/>
          <w:sz w:val="22"/>
          <w:szCs w:val="22"/>
        </w:rPr>
        <w:t> moyen des femmes et des hommes sont nettement plus importants que les écarts de salaire </w:t>
      </w:r>
      <w:r w:rsidRPr="001C693F">
        <w:rPr>
          <w:rFonts w:ascii="Arial" w:hAnsi="Arial" w:cs="Arial"/>
          <w:b/>
          <w:bCs/>
          <w:sz w:val="22"/>
          <w:szCs w:val="22"/>
        </w:rPr>
        <w:t>horaire</w:t>
      </w:r>
      <w:r w:rsidRPr="001C693F">
        <w:rPr>
          <w:rFonts w:ascii="Arial" w:hAnsi="Arial" w:cs="Arial"/>
          <w:sz w:val="22"/>
          <w:szCs w:val="22"/>
        </w:rPr>
        <w:t>. On atteint 34,6 % de plus pour les hommes selon la même enquête de 2013. C’est énorme.</w:t>
      </w:r>
    </w:p>
    <w:p w14:paraId="7F556CF9" w14:textId="2FD9C563"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Si le « equal pay day », ou jour de l’égalité salariale, était calculé non pas en fonction de l’écart des salaires HORAIRES, mais en fonction de l’écart des salaires </w:t>
      </w:r>
      <w:r w:rsidRPr="001C693F">
        <w:rPr>
          <w:rFonts w:ascii="Arial" w:hAnsi="Arial" w:cs="Arial"/>
          <w:b/>
          <w:bCs/>
          <w:sz w:val="22"/>
          <w:szCs w:val="22"/>
        </w:rPr>
        <w:t>mensuels</w:t>
      </w:r>
      <w:r w:rsidRPr="001C693F">
        <w:rPr>
          <w:rFonts w:ascii="Arial" w:hAnsi="Arial" w:cs="Arial"/>
          <w:sz w:val="22"/>
          <w:szCs w:val="22"/>
        </w:rPr>
        <w:t> moyens, alors ce jour tomberait vers le 28 septembre en France.</w:t>
      </w:r>
    </w:p>
    <w:p w14:paraId="0B429175" w14:textId="5076406E"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LE 4 AOÛT !!!</w:t>
      </w:r>
    </w:p>
    <w:p w14:paraId="13D2F8DE" w14:textId="6392A828"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 xml:space="preserve">Mais ce n’est pas tout. Il reste en effet un facteur d’inégalité beaucoup moins étudié et rarement quantifié. Il semble juste à bien des égards d’appliquer un critère d’égalité plus complet selon lequel les femmes et les hommes devraient gagner autant À MÊME NIVEAU DE DIPLÔME. Or aujourd’hui, quand on estime les écarts de rémunérations mensuelles moyennes selon le sexe (soit les + 34,6 % pour les hommes), on oublie un fait majeur : les femmes sont nettement plus diplômées que les hommes, et depuis longtemps. Dit autrement, les hommes gagnent 34,6 % de plus MAIS EN ÉTANT MOINS DIPLÔMÉS. Le tableau fourni en annexe détaille les écarts de revenu du travail par sexe selon cinq niveaux de diplôme. Presque tous ces écarts sont nettement </w:t>
      </w:r>
      <w:r w:rsidRPr="001C693F">
        <w:rPr>
          <w:rFonts w:ascii="Arial" w:hAnsi="Arial" w:cs="Arial"/>
          <w:sz w:val="22"/>
          <w:szCs w:val="22"/>
        </w:rPr>
        <w:lastRenderedPageBreak/>
        <w:t>supérieurs aux 34,6 %, lesquels ne prennent pas en compte les « rendements » salariaux inégaux des diplômes selon le sexe.</w:t>
      </w:r>
    </w:p>
    <w:p w14:paraId="1FA21B71" w14:textId="0C49EB77"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Une estimation récente a été effectuée par une équipe lilloise (voir mon billet précédent). Elle fournit le résultat sidérant suivant :</w:t>
      </w:r>
    </w:p>
    <w:p w14:paraId="290379C5" w14:textId="0ADADB0C" w:rsidR="001C693F" w:rsidRPr="001C693F" w:rsidRDefault="001C693F" w:rsidP="001C693F">
      <w:pPr>
        <w:ind w:left="-993" w:right="-999"/>
        <w:jc w:val="both"/>
        <w:rPr>
          <w:rFonts w:ascii="Arial" w:hAnsi="Arial" w:cs="Arial"/>
          <w:sz w:val="22"/>
          <w:szCs w:val="22"/>
        </w:rPr>
      </w:pPr>
      <w:r>
        <w:rPr>
          <w:rFonts w:ascii="Arial" w:hAnsi="Arial" w:cs="Arial"/>
          <w:sz w:val="22"/>
          <w:szCs w:val="22"/>
        </w:rPr>
        <w:tab/>
      </w:r>
      <w:r w:rsidRPr="001C693F">
        <w:rPr>
          <w:rFonts w:ascii="Arial" w:hAnsi="Arial" w:cs="Arial"/>
          <w:sz w:val="22"/>
          <w:szCs w:val="22"/>
        </w:rPr>
        <w:t>Si les femmes gagnaient autant que les hommes pour tous les niveaux de diplômes, elles devraient percevoir annuellement, en moyenne et en net, 7720 euros de plus qu’aujourd’hui, estimation pour 2013. L’équivalent de près de cinq mois (4,9) de rémunération moyenne des femmes ! Ce chiffre est le manque à gagner annuel moyen des femmes qui résulte de l’inégalité des rémunérations du travail pour des diplômes semblables.</w:t>
      </w:r>
    </w:p>
    <w:p w14:paraId="05634B7E" w14:textId="77777777" w:rsidR="001C693F" w:rsidRPr="001C693F" w:rsidRDefault="001C693F" w:rsidP="001C693F">
      <w:pPr>
        <w:ind w:left="-993" w:right="-999"/>
        <w:jc w:val="both"/>
        <w:rPr>
          <w:rFonts w:ascii="Arial" w:hAnsi="Arial" w:cs="Arial"/>
          <w:sz w:val="22"/>
          <w:szCs w:val="22"/>
        </w:rPr>
      </w:pPr>
      <w:r w:rsidRPr="001C693F">
        <w:rPr>
          <w:rFonts w:ascii="Arial" w:hAnsi="Arial" w:cs="Arial"/>
          <w:sz w:val="22"/>
          <w:szCs w:val="22"/>
        </w:rPr>
        <w:t>Avec cet « effet diplôme », c’est autour du 4 août, date symbolique, qu’il faudrait situer le jour de l’année à partir duquel les femmes pourraient cesser le travail si jusqu’à ce jour elles étaient rémunérées comme les hommes à diplôme identique et si elles se contentaient de leurs gains annuels actuels.</w:t>
      </w:r>
    </w:p>
    <w:p w14:paraId="37B1D6F5" w14:textId="77777777" w:rsidR="0041009F" w:rsidRDefault="0041009F" w:rsidP="007E2046">
      <w:pPr>
        <w:ind w:left="-993" w:right="-999"/>
        <w:jc w:val="both"/>
        <w:rPr>
          <w:rFonts w:ascii="Arial" w:hAnsi="Arial" w:cs="Arial"/>
          <w:sz w:val="22"/>
          <w:szCs w:val="22"/>
        </w:rPr>
      </w:pPr>
    </w:p>
    <w:p w14:paraId="42D0253E" w14:textId="159DE578" w:rsidR="001C693F" w:rsidRDefault="00CB158F" w:rsidP="00CB158F">
      <w:pPr>
        <w:ind w:left="-993" w:right="-999"/>
        <w:jc w:val="center"/>
        <w:rPr>
          <w:rFonts w:ascii="Arial" w:hAnsi="Arial" w:cs="Arial"/>
          <w:sz w:val="22"/>
          <w:szCs w:val="22"/>
        </w:rPr>
      </w:pPr>
      <w:r>
        <w:rPr>
          <w:rFonts w:ascii="Arial" w:hAnsi="Arial" w:cs="Arial"/>
          <w:noProof/>
          <w:sz w:val="22"/>
          <w:szCs w:val="22"/>
        </w:rPr>
        <w:drawing>
          <wp:inline distT="0" distB="0" distL="0" distR="0" wp14:anchorId="44F45707" wp14:editId="03678DC7">
            <wp:extent cx="2800350" cy="1571597"/>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122" cy="1572030"/>
                    </a:xfrm>
                    <a:prstGeom prst="rect">
                      <a:avLst/>
                    </a:prstGeom>
                    <a:noFill/>
                    <a:ln>
                      <a:noFill/>
                    </a:ln>
                  </pic:spPr>
                </pic:pic>
              </a:graphicData>
            </a:graphic>
          </wp:inline>
        </w:drawing>
      </w:r>
    </w:p>
    <w:p w14:paraId="1E67BEB8" w14:textId="77777777" w:rsidR="00CB158F" w:rsidRDefault="00CB158F" w:rsidP="00CB158F">
      <w:pPr>
        <w:ind w:left="-993" w:right="-999"/>
        <w:jc w:val="center"/>
        <w:rPr>
          <w:rFonts w:ascii="Arial" w:hAnsi="Arial" w:cs="Arial"/>
          <w:sz w:val="22"/>
          <w:szCs w:val="22"/>
        </w:rPr>
      </w:pPr>
    </w:p>
    <w:p w14:paraId="0D0C64C0" w14:textId="0651DEA3" w:rsidR="00CB158F" w:rsidRDefault="00CB158F" w:rsidP="00CB158F">
      <w:pPr>
        <w:ind w:left="-993" w:right="-999"/>
        <w:jc w:val="both"/>
        <w:rPr>
          <w:rFonts w:ascii="Arial" w:hAnsi="Arial" w:cs="Arial"/>
          <w:sz w:val="22"/>
          <w:szCs w:val="22"/>
        </w:rPr>
      </w:pPr>
      <w:r>
        <w:rPr>
          <w:rFonts w:ascii="Arial" w:hAnsi="Arial" w:cs="Arial"/>
          <w:sz w:val="22"/>
          <w:szCs w:val="22"/>
        </w:rPr>
        <w:tab/>
        <w:t>4) Comment l’auteur de cet article explique-t-il une partie des inégalités salariales entre hommes et femmes ?</w:t>
      </w:r>
    </w:p>
    <w:p w14:paraId="0DD6BC0E" w14:textId="77777777" w:rsidR="00CB158F" w:rsidRDefault="00CB158F" w:rsidP="00CB158F">
      <w:pPr>
        <w:ind w:left="-993" w:right="-999"/>
        <w:jc w:val="both"/>
        <w:rPr>
          <w:rFonts w:ascii="Arial" w:hAnsi="Arial" w:cs="Arial"/>
          <w:sz w:val="22"/>
          <w:szCs w:val="22"/>
        </w:rPr>
      </w:pPr>
    </w:p>
    <w:p w14:paraId="01F91857" w14:textId="77777777" w:rsidR="00CB158F" w:rsidRDefault="00CB158F" w:rsidP="00CB158F">
      <w:pPr>
        <w:ind w:left="-993" w:right="-999"/>
        <w:jc w:val="both"/>
        <w:rPr>
          <w:rFonts w:ascii="Arial" w:hAnsi="Arial" w:cs="Arial"/>
          <w:sz w:val="22"/>
          <w:szCs w:val="22"/>
        </w:rPr>
      </w:pPr>
    </w:p>
    <w:p w14:paraId="4C277E5F" w14:textId="58C2D818" w:rsidR="00CB158F" w:rsidRDefault="00CB158F" w:rsidP="00CB158F">
      <w:pPr>
        <w:ind w:left="-993" w:right="-999"/>
        <w:jc w:val="both"/>
        <w:rPr>
          <w:rFonts w:ascii="Arial" w:hAnsi="Arial" w:cs="Arial"/>
          <w:sz w:val="22"/>
          <w:szCs w:val="22"/>
        </w:rPr>
      </w:pPr>
      <w:r>
        <w:rPr>
          <w:rFonts w:ascii="Arial" w:hAnsi="Arial" w:cs="Arial"/>
          <w:sz w:val="22"/>
          <w:szCs w:val="22"/>
        </w:rPr>
        <w:tab/>
        <w:t xml:space="preserve">5) </w:t>
      </w:r>
      <w:r w:rsidR="00F64662">
        <w:rPr>
          <w:rFonts w:ascii="Arial" w:hAnsi="Arial" w:cs="Arial"/>
          <w:sz w:val="22"/>
          <w:szCs w:val="22"/>
        </w:rPr>
        <w:t>Pourquoi estime-t-il que le collectif « les Glorieuses » sous-estime ces inégalités ?</w:t>
      </w:r>
    </w:p>
    <w:p w14:paraId="45E8E8FC" w14:textId="77777777" w:rsidR="00F64662" w:rsidRDefault="00F64662" w:rsidP="00CB158F">
      <w:pPr>
        <w:ind w:left="-993" w:right="-999"/>
        <w:jc w:val="both"/>
        <w:rPr>
          <w:rFonts w:ascii="Arial" w:hAnsi="Arial" w:cs="Arial"/>
          <w:sz w:val="22"/>
          <w:szCs w:val="22"/>
        </w:rPr>
      </w:pPr>
    </w:p>
    <w:p w14:paraId="133EE457" w14:textId="77777777" w:rsidR="00F64662" w:rsidRDefault="00F64662" w:rsidP="00CB158F">
      <w:pPr>
        <w:ind w:left="-993" w:right="-999"/>
        <w:jc w:val="both"/>
        <w:rPr>
          <w:rFonts w:ascii="Arial" w:hAnsi="Arial" w:cs="Arial"/>
          <w:sz w:val="22"/>
          <w:szCs w:val="22"/>
        </w:rPr>
      </w:pPr>
    </w:p>
    <w:p w14:paraId="6ECA9A72" w14:textId="255BC7C1" w:rsidR="00F64662" w:rsidRDefault="00F64662" w:rsidP="00CB158F">
      <w:pPr>
        <w:ind w:left="-993" w:right="-999"/>
        <w:jc w:val="both"/>
        <w:rPr>
          <w:rFonts w:ascii="Arial" w:hAnsi="Arial" w:cs="Arial"/>
          <w:sz w:val="22"/>
          <w:szCs w:val="22"/>
        </w:rPr>
      </w:pPr>
      <w:r>
        <w:rPr>
          <w:rFonts w:ascii="Arial" w:hAnsi="Arial" w:cs="Arial"/>
          <w:sz w:val="22"/>
          <w:szCs w:val="22"/>
        </w:rPr>
        <w:tab/>
        <w:t>6) Pourquoi l’argumentation de l’auteur de l’article est-elle discutable ?</w:t>
      </w:r>
    </w:p>
    <w:p w14:paraId="36B6D074" w14:textId="77777777" w:rsidR="00CB158F" w:rsidRDefault="00CB158F" w:rsidP="007E2046">
      <w:pPr>
        <w:ind w:left="-993" w:right="-999"/>
        <w:jc w:val="both"/>
        <w:rPr>
          <w:rFonts w:ascii="Arial" w:hAnsi="Arial" w:cs="Arial"/>
          <w:sz w:val="22"/>
          <w:szCs w:val="22"/>
        </w:rPr>
      </w:pPr>
    </w:p>
    <w:p w14:paraId="4631985C" w14:textId="77777777" w:rsidR="001C693F" w:rsidRDefault="001C693F" w:rsidP="007E2046">
      <w:pPr>
        <w:ind w:left="-993" w:right="-999"/>
        <w:jc w:val="both"/>
        <w:rPr>
          <w:rFonts w:ascii="Arial" w:hAnsi="Arial" w:cs="Arial"/>
          <w:sz w:val="22"/>
          <w:szCs w:val="22"/>
        </w:rPr>
      </w:pPr>
    </w:p>
    <w:p w14:paraId="43C8B04D" w14:textId="77777777" w:rsidR="00CB158F" w:rsidRDefault="00CB158F" w:rsidP="007E2046">
      <w:pPr>
        <w:ind w:left="-993" w:right="-999"/>
        <w:jc w:val="both"/>
        <w:rPr>
          <w:rFonts w:ascii="Arial" w:hAnsi="Arial" w:cs="Arial"/>
          <w:sz w:val="22"/>
          <w:szCs w:val="22"/>
        </w:rPr>
      </w:pPr>
    </w:p>
    <w:p w14:paraId="3C904FD1" w14:textId="77AEDD48" w:rsidR="0041009F" w:rsidRDefault="001C693F" w:rsidP="0041009F">
      <w:pPr>
        <w:ind w:left="-993" w:right="-999"/>
        <w:jc w:val="center"/>
        <w:rPr>
          <w:rFonts w:ascii="Arial" w:hAnsi="Arial" w:cs="Arial"/>
          <w:b/>
        </w:rPr>
      </w:pPr>
      <w:r w:rsidRPr="001C693F">
        <w:rPr>
          <w:rFonts w:ascii="Arial" w:hAnsi="Arial" w:cs="Arial"/>
          <w:b/>
          <w:u w:val="single"/>
        </w:rPr>
        <w:t>Document 3</w:t>
      </w:r>
      <w:r>
        <w:rPr>
          <w:rFonts w:ascii="Arial" w:hAnsi="Arial" w:cs="Arial"/>
          <w:b/>
        </w:rPr>
        <w:t xml:space="preserve">. </w:t>
      </w:r>
      <w:r w:rsidR="0041009F">
        <w:rPr>
          <w:rFonts w:ascii="Arial" w:hAnsi="Arial" w:cs="Arial"/>
          <w:b/>
        </w:rPr>
        <w:t xml:space="preserve">Ségrégation professionnelle et écarts de salaires femmes-hommes (Dares, </w:t>
      </w:r>
      <w:r w:rsidR="0040581C">
        <w:rPr>
          <w:rFonts w:ascii="Arial" w:hAnsi="Arial" w:cs="Arial"/>
          <w:b/>
        </w:rPr>
        <w:t>novembre 2015)</w:t>
      </w:r>
    </w:p>
    <w:p w14:paraId="0752E477" w14:textId="77777777" w:rsidR="0040581C" w:rsidRDefault="0040581C" w:rsidP="0041009F">
      <w:pPr>
        <w:ind w:left="-993" w:right="-999"/>
        <w:jc w:val="center"/>
        <w:rPr>
          <w:rFonts w:ascii="Arial" w:hAnsi="Arial" w:cs="Arial"/>
          <w:b/>
        </w:rPr>
      </w:pPr>
    </w:p>
    <w:p w14:paraId="12134D0D" w14:textId="77777777" w:rsidR="0040581C" w:rsidRPr="0040581C" w:rsidRDefault="0040581C" w:rsidP="0040581C">
      <w:pPr>
        <w:ind w:left="-993" w:right="-999"/>
        <w:jc w:val="both"/>
        <w:rPr>
          <w:rFonts w:ascii="Arial" w:hAnsi="Arial" w:cs="Arial"/>
          <w:sz w:val="22"/>
          <w:szCs w:val="22"/>
        </w:rPr>
      </w:pPr>
    </w:p>
    <w:p w14:paraId="097F9875" w14:textId="77777777" w:rsidR="0041009F" w:rsidRDefault="0041009F" w:rsidP="007E2046">
      <w:pPr>
        <w:ind w:left="-993" w:right="-999"/>
        <w:jc w:val="both"/>
        <w:rPr>
          <w:rFonts w:ascii="Arial" w:hAnsi="Arial" w:cs="Arial"/>
          <w:sz w:val="22"/>
          <w:szCs w:val="22"/>
        </w:rPr>
      </w:pPr>
    </w:p>
    <w:p w14:paraId="74EF699B" w14:textId="42D1CC7F" w:rsidR="00F64662" w:rsidRDefault="00226B26" w:rsidP="00C00296">
      <w:pPr>
        <w:ind w:left="-993" w:right="-999"/>
        <w:jc w:val="center"/>
        <w:rPr>
          <w:rFonts w:ascii="Arial" w:hAnsi="Arial" w:cs="Arial"/>
          <w:sz w:val="22"/>
          <w:szCs w:val="22"/>
        </w:rPr>
      </w:pPr>
      <w:r>
        <w:rPr>
          <w:rFonts w:ascii="Arial" w:hAnsi="Arial" w:cs="Arial"/>
          <w:noProof/>
          <w:sz w:val="22"/>
          <w:szCs w:val="22"/>
        </w:rPr>
        <w:drawing>
          <wp:inline distT="0" distB="0" distL="0" distR="0" wp14:anchorId="646921DD" wp14:editId="57901AAF">
            <wp:extent cx="4057650" cy="3594100"/>
            <wp:effectExtent l="0" t="0" r="635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8830" cy="3595145"/>
                    </a:xfrm>
                    <a:prstGeom prst="rect">
                      <a:avLst/>
                    </a:prstGeom>
                    <a:noFill/>
                    <a:ln>
                      <a:noFill/>
                    </a:ln>
                  </pic:spPr>
                </pic:pic>
              </a:graphicData>
            </a:graphic>
          </wp:inline>
        </w:drawing>
      </w:r>
    </w:p>
    <w:p w14:paraId="7F0884D6" w14:textId="1FB36535" w:rsidR="0041009F" w:rsidRDefault="00226B26" w:rsidP="00C00296">
      <w:pPr>
        <w:ind w:left="-993" w:right="-999"/>
        <w:jc w:val="center"/>
        <w:rPr>
          <w:rFonts w:ascii="Arial" w:hAnsi="Arial" w:cs="Arial"/>
          <w:sz w:val="22"/>
          <w:szCs w:val="22"/>
        </w:rPr>
      </w:pPr>
      <w:r>
        <w:rPr>
          <w:rFonts w:ascii="Arial" w:hAnsi="Arial" w:cs="Arial"/>
          <w:noProof/>
          <w:sz w:val="22"/>
          <w:szCs w:val="22"/>
        </w:rPr>
        <w:drawing>
          <wp:inline distT="0" distB="0" distL="0" distR="0" wp14:anchorId="21F96CAC" wp14:editId="2FDDF0B7">
            <wp:extent cx="4066328" cy="34309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625" cy="3435374"/>
                    </a:xfrm>
                    <a:prstGeom prst="rect">
                      <a:avLst/>
                    </a:prstGeom>
                    <a:noFill/>
                    <a:ln>
                      <a:noFill/>
                    </a:ln>
                  </pic:spPr>
                </pic:pic>
              </a:graphicData>
            </a:graphic>
          </wp:inline>
        </w:drawing>
      </w:r>
    </w:p>
    <w:p w14:paraId="2F7726EC" w14:textId="37D85FE6" w:rsidR="00226B26" w:rsidRDefault="001C693F" w:rsidP="00CB158F">
      <w:pPr>
        <w:ind w:left="-993" w:right="-999"/>
        <w:jc w:val="center"/>
        <w:rPr>
          <w:rFonts w:ascii="Arial" w:hAnsi="Arial" w:cs="Arial"/>
          <w:sz w:val="22"/>
          <w:szCs w:val="22"/>
        </w:rPr>
      </w:pPr>
      <w:r>
        <w:rPr>
          <w:rFonts w:ascii="Arial" w:hAnsi="Arial" w:cs="Arial"/>
          <w:noProof/>
          <w:sz w:val="22"/>
          <w:szCs w:val="22"/>
        </w:rPr>
        <w:drawing>
          <wp:inline distT="0" distB="0" distL="0" distR="0" wp14:anchorId="51E0E6AC" wp14:editId="22DDF3A2">
            <wp:extent cx="5647055" cy="62058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7055" cy="6205855"/>
                    </a:xfrm>
                    <a:prstGeom prst="rect">
                      <a:avLst/>
                    </a:prstGeom>
                    <a:noFill/>
                    <a:ln>
                      <a:noFill/>
                    </a:ln>
                  </pic:spPr>
                </pic:pic>
              </a:graphicData>
            </a:graphic>
          </wp:inline>
        </w:drawing>
      </w:r>
    </w:p>
    <w:p w14:paraId="581BAA4D" w14:textId="77777777" w:rsidR="00CB158F" w:rsidRDefault="00CB158F" w:rsidP="00CB158F">
      <w:pPr>
        <w:ind w:left="-993" w:right="-999"/>
        <w:jc w:val="center"/>
        <w:rPr>
          <w:rFonts w:ascii="Arial" w:hAnsi="Arial" w:cs="Arial"/>
          <w:sz w:val="22"/>
          <w:szCs w:val="22"/>
        </w:rPr>
      </w:pPr>
    </w:p>
    <w:p w14:paraId="38613ACB" w14:textId="398B355C" w:rsidR="00CB158F" w:rsidRDefault="00F64662" w:rsidP="00CB158F">
      <w:pPr>
        <w:ind w:left="-993" w:right="-999"/>
        <w:jc w:val="both"/>
        <w:rPr>
          <w:rFonts w:ascii="Arial" w:hAnsi="Arial" w:cs="Arial"/>
          <w:sz w:val="22"/>
          <w:szCs w:val="22"/>
        </w:rPr>
      </w:pPr>
      <w:r>
        <w:rPr>
          <w:rFonts w:ascii="Arial" w:hAnsi="Arial" w:cs="Arial"/>
          <w:sz w:val="22"/>
          <w:szCs w:val="22"/>
        </w:rPr>
        <w:tab/>
        <w:t>7</w:t>
      </w:r>
      <w:r w:rsidR="00CB158F">
        <w:rPr>
          <w:rFonts w:ascii="Arial" w:hAnsi="Arial" w:cs="Arial"/>
          <w:sz w:val="22"/>
          <w:szCs w:val="22"/>
        </w:rPr>
        <w:t>) Comment ces deux documents peuvent-ils permettre de comprendre une partie des inégalités salariales entre hommes et femmes ?</w:t>
      </w:r>
    </w:p>
    <w:p w14:paraId="45B899F0" w14:textId="74FAE4E6" w:rsidR="00CB158F" w:rsidRDefault="00CB158F" w:rsidP="00CB158F">
      <w:pPr>
        <w:ind w:left="-993" w:right="-999"/>
        <w:jc w:val="both"/>
        <w:rPr>
          <w:rFonts w:ascii="Arial" w:hAnsi="Arial" w:cs="Arial"/>
          <w:sz w:val="22"/>
          <w:szCs w:val="22"/>
        </w:rPr>
      </w:pPr>
    </w:p>
    <w:p w14:paraId="05EDAB41" w14:textId="77777777" w:rsidR="00CB158F" w:rsidRDefault="00CB158F" w:rsidP="00CB158F">
      <w:pPr>
        <w:ind w:left="-993" w:right="-999"/>
        <w:jc w:val="both"/>
        <w:rPr>
          <w:rFonts w:ascii="Arial" w:hAnsi="Arial" w:cs="Arial"/>
          <w:sz w:val="22"/>
          <w:szCs w:val="22"/>
        </w:rPr>
      </w:pPr>
    </w:p>
    <w:p w14:paraId="09CF7F9C" w14:textId="77777777" w:rsidR="00CB158F" w:rsidRDefault="00CB158F" w:rsidP="00CB158F">
      <w:pPr>
        <w:ind w:left="-993" w:right="-999"/>
        <w:jc w:val="both"/>
        <w:rPr>
          <w:rFonts w:ascii="Arial" w:hAnsi="Arial" w:cs="Arial"/>
          <w:sz w:val="22"/>
          <w:szCs w:val="22"/>
        </w:rPr>
      </w:pPr>
    </w:p>
    <w:p w14:paraId="55F663A1" w14:textId="67F6496A" w:rsidR="00CB158F" w:rsidRDefault="00F64662" w:rsidP="00CB158F">
      <w:pPr>
        <w:ind w:left="-993" w:right="-999"/>
        <w:jc w:val="both"/>
        <w:rPr>
          <w:rFonts w:ascii="Arial" w:hAnsi="Arial" w:cs="Arial"/>
          <w:sz w:val="22"/>
          <w:szCs w:val="22"/>
        </w:rPr>
      </w:pPr>
      <w:r>
        <w:rPr>
          <w:rFonts w:ascii="Arial" w:hAnsi="Arial" w:cs="Arial"/>
          <w:sz w:val="22"/>
          <w:szCs w:val="22"/>
        </w:rPr>
        <w:tab/>
        <w:t>8</w:t>
      </w:r>
      <w:r w:rsidR="00CB158F">
        <w:rPr>
          <w:rFonts w:ascii="Arial" w:hAnsi="Arial" w:cs="Arial"/>
          <w:sz w:val="22"/>
          <w:szCs w:val="22"/>
        </w:rPr>
        <w:t>) Quels sont les secteurs professionnels dans lesquels les inégalités salariales entre hommes et femmes sont les plus fortes ? Quels sont ceux dans lesquels elles sont les moins fortes ? Quel est celui dans lequel les femmes sont mieux payées que les hommes ?</w:t>
      </w:r>
    </w:p>
    <w:p w14:paraId="76258034" w14:textId="77777777" w:rsidR="00C00296" w:rsidRDefault="00C00296" w:rsidP="00CB158F">
      <w:pPr>
        <w:ind w:left="-993" w:right="-999"/>
        <w:jc w:val="both"/>
        <w:rPr>
          <w:rFonts w:ascii="Arial" w:hAnsi="Arial" w:cs="Arial"/>
          <w:sz w:val="22"/>
          <w:szCs w:val="22"/>
        </w:rPr>
      </w:pPr>
    </w:p>
    <w:p w14:paraId="17B436DD" w14:textId="77777777" w:rsidR="00C00296" w:rsidRDefault="00C00296" w:rsidP="00CB158F">
      <w:pPr>
        <w:ind w:left="-993" w:right="-999"/>
        <w:jc w:val="both"/>
        <w:rPr>
          <w:rFonts w:ascii="Arial" w:hAnsi="Arial" w:cs="Arial"/>
          <w:sz w:val="22"/>
          <w:szCs w:val="22"/>
        </w:rPr>
      </w:pPr>
    </w:p>
    <w:p w14:paraId="7D3A08F0" w14:textId="77777777" w:rsidR="00CB158F" w:rsidRDefault="00CB158F" w:rsidP="00CB158F">
      <w:pPr>
        <w:ind w:left="-993" w:right="-999"/>
        <w:jc w:val="both"/>
        <w:rPr>
          <w:rFonts w:ascii="Arial" w:hAnsi="Arial" w:cs="Arial"/>
          <w:sz w:val="22"/>
          <w:szCs w:val="22"/>
        </w:rPr>
      </w:pPr>
    </w:p>
    <w:p w14:paraId="3675E65C" w14:textId="317510B8" w:rsidR="00CB158F" w:rsidRDefault="00CB158F" w:rsidP="00CB158F">
      <w:pPr>
        <w:ind w:left="-993" w:right="-999"/>
        <w:jc w:val="center"/>
        <w:rPr>
          <w:rFonts w:ascii="Arial" w:hAnsi="Arial" w:cs="Arial"/>
          <w:sz w:val="22"/>
          <w:szCs w:val="22"/>
        </w:rPr>
      </w:pPr>
      <w:r>
        <w:rPr>
          <w:rFonts w:ascii="Arial" w:hAnsi="Arial" w:cs="Arial"/>
          <w:noProof/>
          <w:sz w:val="22"/>
          <w:szCs w:val="22"/>
        </w:rPr>
        <w:drawing>
          <wp:inline distT="0" distB="0" distL="0" distR="0" wp14:anchorId="7F25DB68" wp14:editId="23731D4B">
            <wp:extent cx="5166995" cy="54330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197" cy="5433272"/>
                    </a:xfrm>
                    <a:prstGeom prst="rect">
                      <a:avLst/>
                    </a:prstGeom>
                    <a:noFill/>
                    <a:ln>
                      <a:noFill/>
                    </a:ln>
                  </pic:spPr>
                </pic:pic>
              </a:graphicData>
            </a:graphic>
          </wp:inline>
        </w:drawing>
      </w:r>
    </w:p>
    <w:p w14:paraId="730F2C6C" w14:textId="77777777" w:rsidR="00CB158F" w:rsidRDefault="00CB158F" w:rsidP="00CB158F">
      <w:pPr>
        <w:ind w:left="-993" w:right="-999"/>
        <w:jc w:val="center"/>
        <w:rPr>
          <w:rFonts w:ascii="Arial" w:hAnsi="Arial" w:cs="Arial"/>
          <w:sz w:val="22"/>
          <w:szCs w:val="22"/>
        </w:rPr>
      </w:pPr>
    </w:p>
    <w:p w14:paraId="28281350" w14:textId="2E7EAF22" w:rsidR="00CB158F" w:rsidRDefault="00F64662" w:rsidP="00CB158F">
      <w:pPr>
        <w:ind w:left="-993" w:right="-999"/>
        <w:jc w:val="both"/>
        <w:rPr>
          <w:rFonts w:ascii="Arial" w:hAnsi="Arial" w:cs="Arial"/>
          <w:sz w:val="22"/>
          <w:szCs w:val="22"/>
        </w:rPr>
      </w:pPr>
      <w:r>
        <w:rPr>
          <w:rFonts w:ascii="Arial" w:hAnsi="Arial" w:cs="Arial"/>
          <w:sz w:val="22"/>
          <w:szCs w:val="22"/>
        </w:rPr>
        <w:tab/>
        <w:t>9</w:t>
      </w:r>
      <w:r w:rsidR="00CB158F">
        <w:rPr>
          <w:rFonts w:ascii="Arial" w:hAnsi="Arial" w:cs="Arial"/>
          <w:sz w:val="22"/>
          <w:szCs w:val="22"/>
        </w:rPr>
        <w:t xml:space="preserve">) Que peut signifier la colonne « expliqué » ? Aidez-vous </w:t>
      </w:r>
      <w:r>
        <w:rPr>
          <w:rFonts w:ascii="Arial" w:hAnsi="Arial" w:cs="Arial"/>
          <w:sz w:val="22"/>
          <w:szCs w:val="22"/>
        </w:rPr>
        <w:t>du texte sous le tableau, qui donne un indice pour une partie de la réponse.</w:t>
      </w:r>
    </w:p>
    <w:p w14:paraId="7B6A799E" w14:textId="77777777" w:rsidR="00F64662" w:rsidRDefault="00F64662" w:rsidP="00CB158F">
      <w:pPr>
        <w:ind w:left="-993" w:right="-999"/>
        <w:jc w:val="both"/>
        <w:rPr>
          <w:rFonts w:ascii="Arial" w:hAnsi="Arial" w:cs="Arial"/>
          <w:sz w:val="22"/>
          <w:szCs w:val="22"/>
        </w:rPr>
      </w:pPr>
    </w:p>
    <w:p w14:paraId="3EC8908B" w14:textId="77777777" w:rsidR="00F64662" w:rsidRDefault="00F64662" w:rsidP="00CB158F">
      <w:pPr>
        <w:ind w:left="-993" w:right="-999"/>
        <w:jc w:val="both"/>
        <w:rPr>
          <w:rFonts w:ascii="Arial" w:hAnsi="Arial" w:cs="Arial"/>
          <w:sz w:val="22"/>
          <w:szCs w:val="22"/>
        </w:rPr>
      </w:pPr>
    </w:p>
    <w:p w14:paraId="5EE90304" w14:textId="47C6EEF1" w:rsidR="005F1EEC" w:rsidRDefault="00F64662" w:rsidP="00CB158F">
      <w:pPr>
        <w:ind w:left="-993" w:right="-999"/>
        <w:jc w:val="both"/>
        <w:rPr>
          <w:rFonts w:ascii="Arial" w:hAnsi="Arial" w:cs="Arial"/>
          <w:sz w:val="22"/>
          <w:szCs w:val="22"/>
        </w:rPr>
      </w:pPr>
      <w:r>
        <w:rPr>
          <w:rFonts w:ascii="Arial" w:hAnsi="Arial" w:cs="Arial"/>
          <w:sz w:val="22"/>
          <w:szCs w:val="22"/>
        </w:rPr>
        <w:tab/>
        <w:t xml:space="preserve">10) Pourquoi peut-on dire que ces documents de la Dares permettent de nuancer </w:t>
      </w:r>
      <w:r w:rsidR="00C00296">
        <w:rPr>
          <w:rFonts w:ascii="Arial" w:hAnsi="Arial" w:cs="Arial"/>
          <w:sz w:val="22"/>
          <w:szCs w:val="22"/>
        </w:rPr>
        <w:t>ce qui était présenté dans les deux articles ?</w:t>
      </w:r>
    </w:p>
    <w:p w14:paraId="35C97F00" w14:textId="77777777" w:rsidR="005F1EEC" w:rsidRDefault="005F1EEC" w:rsidP="00CB158F">
      <w:pPr>
        <w:ind w:left="-993" w:right="-999"/>
        <w:jc w:val="both"/>
        <w:rPr>
          <w:rFonts w:ascii="Arial" w:hAnsi="Arial" w:cs="Arial"/>
          <w:sz w:val="22"/>
          <w:szCs w:val="22"/>
        </w:rPr>
      </w:pPr>
    </w:p>
    <w:p w14:paraId="2C258CFE" w14:textId="52ECE7D2" w:rsidR="005F1EEC" w:rsidRDefault="005F1EEC" w:rsidP="00CB158F">
      <w:pPr>
        <w:ind w:left="-993" w:right="-999"/>
        <w:jc w:val="both"/>
        <w:rPr>
          <w:rFonts w:ascii="Arial" w:hAnsi="Arial" w:cs="Arial"/>
          <w:sz w:val="22"/>
          <w:szCs w:val="22"/>
        </w:rPr>
      </w:pPr>
      <w:r>
        <w:rPr>
          <w:rFonts w:ascii="Arial" w:hAnsi="Arial" w:cs="Arial"/>
          <w:sz w:val="22"/>
          <w:szCs w:val="22"/>
        </w:rPr>
        <w:tab/>
      </w:r>
    </w:p>
    <w:p w14:paraId="12378E08" w14:textId="49031599" w:rsidR="00C00296" w:rsidRDefault="005F1EEC" w:rsidP="00CB158F">
      <w:pPr>
        <w:ind w:left="-993" w:right="-999"/>
        <w:jc w:val="both"/>
        <w:rPr>
          <w:rFonts w:ascii="Arial" w:hAnsi="Arial" w:cs="Arial"/>
          <w:sz w:val="22"/>
          <w:szCs w:val="22"/>
        </w:rPr>
      </w:pPr>
      <w:r>
        <w:rPr>
          <w:rFonts w:ascii="Arial" w:hAnsi="Arial" w:cs="Arial"/>
          <w:sz w:val="22"/>
          <w:szCs w:val="22"/>
        </w:rPr>
        <w:tab/>
        <w:t>11) Selon vous, toutes les inégalités salariales entre hommes et femmes relèvent-elles de discriminations (cela est discutable, nuancez votre point de vue) ?</w:t>
      </w:r>
    </w:p>
    <w:p w14:paraId="78507CD4" w14:textId="77777777" w:rsidR="00C00296" w:rsidRDefault="00C00296" w:rsidP="00CB158F">
      <w:pPr>
        <w:ind w:left="-993" w:right="-999"/>
        <w:jc w:val="both"/>
        <w:rPr>
          <w:rFonts w:ascii="Arial" w:hAnsi="Arial" w:cs="Arial"/>
          <w:sz w:val="22"/>
          <w:szCs w:val="22"/>
        </w:rPr>
      </w:pPr>
    </w:p>
    <w:p w14:paraId="0E19E89D" w14:textId="77777777" w:rsidR="005F1EEC" w:rsidRDefault="005F1EEC" w:rsidP="00CB158F">
      <w:pPr>
        <w:ind w:left="-993" w:right="-999"/>
        <w:jc w:val="both"/>
        <w:rPr>
          <w:rFonts w:ascii="Arial" w:hAnsi="Arial" w:cs="Arial"/>
          <w:sz w:val="22"/>
          <w:szCs w:val="22"/>
        </w:rPr>
      </w:pPr>
    </w:p>
    <w:p w14:paraId="12FD78B3" w14:textId="77777777" w:rsidR="005F1EEC" w:rsidRDefault="005F1EEC" w:rsidP="00CB158F">
      <w:pPr>
        <w:ind w:left="-993" w:right="-999"/>
        <w:jc w:val="both"/>
        <w:rPr>
          <w:rFonts w:ascii="Arial" w:hAnsi="Arial" w:cs="Arial"/>
          <w:sz w:val="22"/>
          <w:szCs w:val="22"/>
        </w:rPr>
      </w:pPr>
    </w:p>
    <w:p w14:paraId="2E71E53A" w14:textId="68EF8D0D" w:rsidR="00116CEA" w:rsidRDefault="00116CEA" w:rsidP="00CB158F">
      <w:pPr>
        <w:ind w:left="-993" w:right="-999"/>
        <w:jc w:val="both"/>
        <w:rPr>
          <w:rFonts w:ascii="Arial" w:hAnsi="Arial" w:cs="Arial"/>
          <w:sz w:val="22"/>
          <w:szCs w:val="22"/>
        </w:rPr>
      </w:pPr>
      <w:r>
        <w:rPr>
          <w:rFonts w:ascii="Arial" w:hAnsi="Arial" w:cs="Arial"/>
          <w:sz w:val="22"/>
          <w:szCs w:val="22"/>
        </w:rPr>
        <w:tab/>
      </w:r>
      <w:r w:rsidR="005F1EEC">
        <w:rPr>
          <w:rFonts w:ascii="Arial" w:hAnsi="Arial" w:cs="Arial"/>
          <w:sz w:val="22"/>
          <w:szCs w:val="22"/>
        </w:rPr>
        <w:t>12</w:t>
      </w:r>
      <w:r>
        <w:rPr>
          <w:rFonts w:ascii="Arial" w:hAnsi="Arial" w:cs="Arial"/>
          <w:sz w:val="22"/>
          <w:szCs w:val="22"/>
        </w:rPr>
        <w:t xml:space="preserve">) Réalisez un schéma permettant </w:t>
      </w:r>
      <w:r w:rsidR="00F64662">
        <w:rPr>
          <w:rFonts w:ascii="Arial" w:hAnsi="Arial" w:cs="Arial"/>
          <w:sz w:val="22"/>
          <w:szCs w:val="22"/>
        </w:rPr>
        <w:t>de présenter, en les résumant,</w:t>
      </w:r>
      <w:r>
        <w:rPr>
          <w:rFonts w:ascii="Arial" w:hAnsi="Arial" w:cs="Arial"/>
          <w:sz w:val="22"/>
          <w:szCs w:val="22"/>
        </w:rPr>
        <w:t xml:space="preserve"> les inégalités salariales entre hommes et femmes et leurs causes.</w:t>
      </w:r>
    </w:p>
    <w:p w14:paraId="3CE6426F" w14:textId="77777777" w:rsidR="00116CEA" w:rsidRDefault="00116CEA" w:rsidP="00CB158F">
      <w:pPr>
        <w:ind w:left="-993" w:right="-999"/>
        <w:jc w:val="both"/>
        <w:rPr>
          <w:rFonts w:ascii="Arial" w:hAnsi="Arial" w:cs="Arial"/>
          <w:sz w:val="22"/>
          <w:szCs w:val="22"/>
        </w:rPr>
      </w:pPr>
    </w:p>
    <w:p w14:paraId="43AFDECF" w14:textId="77777777" w:rsidR="00116CEA" w:rsidRDefault="00116CEA" w:rsidP="00CB158F">
      <w:pPr>
        <w:ind w:left="-993" w:right="-999"/>
        <w:jc w:val="both"/>
        <w:rPr>
          <w:rFonts w:ascii="Arial" w:hAnsi="Arial" w:cs="Arial"/>
          <w:sz w:val="22"/>
          <w:szCs w:val="22"/>
        </w:rPr>
      </w:pPr>
    </w:p>
    <w:p w14:paraId="4D0388DC" w14:textId="77777777" w:rsidR="00116CEA" w:rsidRDefault="00116CEA" w:rsidP="00CB158F">
      <w:pPr>
        <w:ind w:left="-993" w:right="-999"/>
        <w:jc w:val="both"/>
        <w:rPr>
          <w:rFonts w:ascii="Arial" w:hAnsi="Arial" w:cs="Arial"/>
          <w:sz w:val="22"/>
          <w:szCs w:val="22"/>
        </w:rPr>
      </w:pPr>
    </w:p>
    <w:p w14:paraId="1BA63BB6" w14:textId="77777777" w:rsidR="00116CEA" w:rsidRDefault="00116CEA" w:rsidP="00CB158F">
      <w:pPr>
        <w:ind w:left="-993" w:right="-999"/>
        <w:jc w:val="both"/>
        <w:rPr>
          <w:rFonts w:ascii="Arial" w:hAnsi="Arial" w:cs="Arial"/>
          <w:sz w:val="22"/>
          <w:szCs w:val="22"/>
        </w:rPr>
      </w:pPr>
    </w:p>
    <w:p w14:paraId="5EA09F23" w14:textId="3B4537C9" w:rsidR="00116CEA" w:rsidRPr="007E2046" w:rsidRDefault="00116CEA" w:rsidP="00116CEA">
      <w:pPr>
        <w:ind w:left="-993" w:right="-999"/>
        <w:jc w:val="center"/>
        <w:rPr>
          <w:rFonts w:ascii="Arial" w:hAnsi="Arial" w:cs="Arial"/>
          <w:sz w:val="22"/>
          <w:szCs w:val="22"/>
        </w:rPr>
      </w:pPr>
      <w:r>
        <w:rPr>
          <w:rFonts w:ascii="Arial" w:hAnsi="Arial" w:cs="Arial"/>
          <w:noProof/>
          <w:sz w:val="22"/>
          <w:szCs w:val="22"/>
        </w:rPr>
        <w:drawing>
          <wp:inline distT="0" distB="0" distL="0" distR="0" wp14:anchorId="28976E1A" wp14:editId="28A41EFA">
            <wp:extent cx="5554345" cy="40386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345" cy="4038600"/>
                    </a:xfrm>
                    <a:prstGeom prst="rect">
                      <a:avLst/>
                    </a:prstGeom>
                    <a:noFill/>
                    <a:ln>
                      <a:noFill/>
                    </a:ln>
                  </pic:spPr>
                </pic:pic>
              </a:graphicData>
            </a:graphic>
          </wp:inline>
        </w:drawing>
      </w:r>
    </w:p>
    <w:sectPr w:rsidR="00116CEA" w:rsidRPr="007E2046" w:rsidSect="007E2046">
      <w:footerReference w:type="even" r:id="rId15"/>
      <w:footerReference w:type="default" r:id="rId16"/>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D434F" w14:textId="77777777" w:rsidR="00F64662" w:rsidRDefault="00F64662" w:rsidP="00CB158F">
      <w:r>
        <w:separator/>
      </w:r>
    </w:p>
  </w:endnote>
  <w:endnote w:type="continuationSeparator" w:id="0">
    <w:p w14:paraId="1A6EEC4C" w14:textId="77777777" w:rsidR="00F64662" w:rsidRDefault="00F64662" w:rsidP="00CB1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3531E" w14:textId="77777777" w:rsidR="00F64662" w:rsidRDefault="00F64662" w:rsidP="00CB158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0046569" w14:textId="77777777" w:rsidR="00F64662" w:rsidRDefault="00F64662" w:rsidP="00CB158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A8921" w14:textId="77777777" w:rsidR="00F64662" w:rsidRDefault="00F64662" w:rsidP="00CB158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F777B">
      <w:rPr>
        <w:rStyle w:val="Numrodepage"/>
        <w:noProof/>
      </w:rPr>
      <w:t>1</w:t>
    </w:r>
    <w:r>
      <w:rPr>
        <w:rStyle w:val="Numrodepage"/>
      </w:rPr>
      <w:fldChar w:fldCharType="end"/>
    </w:r>
  </w:p>
  <w:p w14:paraId="339536F8" w14:textId="77777777" w:rsidR="00F64662" w:rsidRDefault="00F64662" w:rsidP="00CB158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F7871" w14:textId="77777777" w:rsidR="00F64662" w:rsidRDefault="00F64662" w:rsidP="00CB158F">
      <w:r>
        <w:separator/>
      </w:r>
    </w:p>
  </w:footnote>
  <w:footnote w:type="continuationSeparator" w:id="0">
    <w:p w14:paraId="64187820" w14:textId="77777777" w:rsidR="00F64662" w:rsidRDefault="00F64662" w:rsidP="00CB15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046"/>
    <w:rsid w:val="00015DE6"/>
    <w:rsid w:val="000F777B"/>
    <w:rsid w:val="00116CEA"/>
    <w:rsid w:val="001C693F"/>
    <w:rsid w:val="00226B26"/>
    <w:rsid w:val="0040581C"/>
    <w:rsid w:val="0041009F"/>
    <w:rsid w:val="005F1EEC"/>
    <w:rsid w:val="006A2CAE"/>
    <w:rsid w:val="0079093A"/>
    <w:rsid w:val="007E2046"/>
    <w:rsid w:val="00862D80"/>
    <w:rsid w:val="00C00296"/>
    <w:rsid w:val="00CB158F"/>
    <w:rsid w:val="00DA579C"/>
    <w:rsid w:val="00F646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3FFD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579C"/>
    <w:rPr>
      <w:color w:val="0000FF" w:themeColor="hyperlink"/>
      <w:u w:val="single"/>
    </w:rPr>
  </w:style>
  <w:style w:type="paragraph" w:styleId="Textedebulles">
    <w:name w:val="Balloon Text"/>
    <w:basedOn w:val="Normal"/>
    <w:link w:val="TextedebullesCar"/>
    <w:uiPriority w:val="99"/>
    <w:semiHidden/>
    <w:unhideWhenUsed/>
    <w:rsid w:val="00226B2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26B26"/>
    <w:rPr>
      <w:rFonts w:ascii="Lucida Grande" w:hAnsi="Lucida Grande" w:cs="Lucida Grande"/>
      <w:sz w:val="18"/>
      <w:szCs w:val="18"/>
      <w:lang w:val="fr-FR"/>
    </w:rPr>
  </w:style>
  <w:style w:type="paragraph" w:styleId="Pieddepage">
    <w:name w:val="footer"/>
    <w:basedOn w:val="Normal"/>
    <w:link w:val="PieddepageCar"/>
    <w:uiPriority w:val="99"/>
    <w:unhideWhenUsed/>
    <w:rsid w:val="00CB158F"/>
    <w:pPr>
      <w:tabs>
        <w:tab w:val="center" w:pos="4536"/>
        <w:tab w:val="right" w:pos="9072"/>
      </w:tabs>
    </w:pPr>
  </w:style>
  <w:style w:type="character" w:customStyle="1" w:styleId="PieddepageCar">
    <w:name w:val="Pied de page Car"/>
    <w:basedOn w:val="Policepardfaut"/>
    <w:link w:val="Pieddepage"/>
    <w:uiPriority w:val="99"/>
    <w:rsid w:val="00CB158F"/>
    <w:rPr>
      <w:lang w:val="fr-FR"/>
    </w:rPr>
  </w:style>
  <w:style w:type="character" w:styleId="Numrodepage">
    <w:name w:val="page number"/>
    <w:basedOn w:val="Policepardfaut"/>
    <w:uiPriority w:val="99"/>
    <w:semiHidden/>
    <w:unhideWhenUsed/>
    <w:rsid w:val="00CB158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579C"/>
    <w:rPr>
      <w:color w:val="0000FF" w:themeColor="hyperlink"/>
      <w:u w:val="single"/>
    </w:rPr>
  </w:style>
  <w:style w:type="paragraph" w:styleId="Textedebulles">
    <w:name w:val="Balloon Text"/>
    <w:basedOn w:val="Normal"/>
    <w:link w:val="TextedebullesCar"/>
    <w:uiPriority w:val="99"/>
    <w:semiHidden/>
    <w:unhideWhenUsed/>
    <w:rsid w:val="00226B2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26B26"/>
    <w:rPr>
      <w:rFonts w:ascii="Lucida Grande" w:hAnsi="Lucida Grande" w:cs="Lucida Grande"/>
      <w:sz w:val="18"/>
      <w:szCs w:val="18"/>
      <w:lang w:val="fr-FR"/>
    </w:rPr>
  </w:style>
  <w:style w:type="paragraph" w:styleId="Pieddepage">
    <w:name w:val="footer"/>
    <w:basedOn w:val="Normal"/>
    <w:link w:val="PieddepageCar"/>
    <w:uiPriority w:val="99"/>
    <w:unhideWhenUsed/>
    <w:rsid w:val="00CB158F"/>
    <w:pPr>
      <w:tabs>
        <w:tab w:val="center" w:pos="4536"/>
        <w:tab w:val="right" w:pos="9072"/>
      </w:tabs>
    </w:pPr>
  </w:style>
  <w:style w:type="character" w:customStyle="1" w:styleId="PieddepageCar">
    <w:name w:val="Pied de page Car"/>
    <w:basedOn w:val="Policepardfaut"/>
    <w:link w:val="Pieddepage"/>
    <w:uiPriority w:val="99"/>
    <w:rsid w:val="00CB158F"/>
    <w:rPr>
      <w:lang w:val="fr-FR"/>
    </w:rPr>
  </w:style>
  <w:style w:type="character" w:styleId="Numrodepage">
    <w:name w:val="page number"/>
    <w:basedOn w:val="Policepardfaut"/>
    <w:uiPriority w:val="99"/>
    <w:semiHidden/>
    <w:unhideWhenUsed/>
    <w:rsid w:val="00CB1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08998">
      <w:bodyDiv w:val="1"/>
      <w:marLeft w:val="0"/>
      <w:marRight w:val="0"/>
      <w:marTop w:val="0"/>
      <w:marBottom w:val="0"/>
      <w:divBdr>
        <w:top w:val="none" w:sz="0" w:space="0" w:color="auto"/>
        <w:left w:val="none" w:sz="0" w:space="0" w:color="auto"/>
        <w:bottom w:val="none" w:sz="0" w:space="0" w:color="auto"/>
        <w:right w:val="none" w:sz="0" w:space="0" w:color="auto"/>
      </w:divBdr>
    </w:div>
    <w:div w:id="168302180">
      <w:bodyDiv w:val="1"/>
      <w:marLeft w:val="0"/>
      <w:marRight w:val="0"/>
      <w:marTop w:val="0"/>
      <w:marBottom w:val="0"/>
      <w:divBdr>
        <w:top w:val="none" w:sz="0" w:space="0" w:color="auto"/>
        <w:left w:val="none" w:sz="0" w:space="0" w:color="auto"/>
        <w:bottom w:val="none" w:sz="0" w:space="0" w:color="auto"/>
        <w:right w:val="none" w:sz="0" w:space="0" w:color="auto"/>
      </w:divBdr>
    </w:div>
    <w:div w:id="265767725">
      <w:bodyDiv w:val="1"/>
      <w:marLeft w:val="0"/>
      <w:marRight w:val="0"/>
      <w:marTop w:val="0"/>
      <w:marBottom w:val="0"/>
      <w:divBdr>
        <w:top w:val="none" w:sz="0" w:space="0" w:color="auto"/>
        <w:left w:val="none" w:sz="0" w:space="0" w:color="auto"/>
        <w:bottom w:val="none" w:sz="0" w:space="0" w:color="auto"/>
        <w:right w:val="none" w:sz="0" w:space="0" w:color="auto"/>
      </w:divBdr>
    </w:div>
    <w:div w:id="371156714">
      <w:bodyDiv w:val="1"/>
      <w:marLeft w:val="0"/>
      <w:marRight w:val="0"/>
      <w:marTop w:val="0"/>
      <w:marBottom w:val="0"/>
      <w:divBdr>
        <w:top w:val="none" w:sz="0" w:space="0" w:color="auto"/>
        <w:left w:val="none" w:sz="0" w:space="0" w:color="auto"/>
        <w:bottom w:val="none" w:sz="0" w:space="0" w:color="auto"/>
        <w:right w:val="none" w:sz="0" w:space="0" w:color="auto"/>
      </w:divBdr>
    </w:div>
    <w:div w:id="487137358">
      <w:bodyDiv w:val="1"/>
      <w:marLeft w:val="0"/>
      <w:marRight w:val="0"/>
      <w:marTop w:val="0"/>
      <w:marBottom w:val="0"/>
      <w:divBdr>
        <w:top w:val="none" w:sz="0" w:space="0" w:color="auto"/>
        <w:left w:val="none" w:sz="0" w:space="0" w:color="auto"/>
        <w:bottom w:val="none" w:sz="0" w:space="0" w:color="auto"/>
        <w:right w:val="none" w:sz="0" w:space="0" w:color="auto"/>
      </w:divBdr>
    </w:div>
    <w:div w:id="516236156">
      <w:bodyDiv w:val="1"/>
      <w:marLeft w:val="0"/>
      <w:marRight w:val="0"/>
      <w:marTop w:val="0"/>
      <w:marBottom w:val="0"/>
      <w:divBdr>
        <w:top w:val="none" w:sz="0" w:space="0" w:color="auto"/>
        <w:left w:val="none" w:sz="0" w:space="0" w:color="auto"/>
        <w:bottom w:val="none" w:sz="0" w:space="0" w:color="auto"/>
        <w:right w:val="none" w:sz="0" w:space="0" w:color="auto"/>
      </w:divBdr>
    </w:div>
    <w:div w:id="884875176">
      <w:bodyDiv w:val="1"/>
      <w:marLeft w:val="0"/>
      <w:marRight w:val="0"/>
      <w:marTop w:val="0"/>
      <w:marBottom w:val="0"/>
      <w:divBdr>
        <w:top w:val="none" w:sz="0" w:space="0" w:color="auto"/>
        <w:left w:val="none" w:sz="0" w:space="0" w:color="auto"/>
        <w:bottom w:val="none" w:sz="0" w:space="0" w:color="auto"/>
        <w:right w:val="none" w:sz="0" w:space="0" w:color="auto"/>
      </w:divBdr>
    </w:div>
    <w:div w:id="938367588">
      <w:bodyDiv w:val="1"/>
      <w:marLeft w:val="0"/>
      <w:marRight w:val="0"/>
      <w:marTop w:val="0"/>
      <w:marBottom w:val="0"/>
      <w:divBdr>
        <w:top w:val="none" w:sz="0" w:space="0" w:color="auto"/>
        <w:left w:val="none" w:sz="0" w:space="0" w:color="auto"/>
        <w:bottom w:val="none" w:sz="0" w:space="0" w:color="auto"/>
        <w:right w:val="none" w:sz="0" w:space="0" w:color="auto"/>
      </w:divBdr>
    </w:div>
    <w:div w:id="991711310">
      <w:bodyDiv w:val="1"/>
      <w:marLeft w:val="0"/>
      <w:marRight w:val="0"/>
      <w:marTop w:val="0"/>
      <w:marBottom w:val="0"/>
      <w:divBdr>
        <w:top w:val="none" w:sz="0" w:space="0" w:color="auto"/>
        <w:left w:val="none" w:sz="0" w:space="0" w:color="auto"/>
        <w:bottom w:val="none" w:sz="0" w:space="0" w:color="auto"/>
        <w:right w:val="none" w:sz="0" w:space="0" w:color="auto"/>
      </w:divBdr>
    </w:div>
    <w:div w:id="1024332431">
      <w:bodyDiv w:val="1"/>
      <w:marLeft w:val="0"/>
      <w:marRight w:val="0"/>
      <w:marTop w:val="0"/>
      <w:marBottom w:val="0"/>
      <w:divBdr>
        <w:top w:val="none" w:sz="0" w:space="0" w:color="auto"/>
        <w:left w:val="none" w:sz="0" w:space="0" w:color="auto"/>
        <w:bottom w:val="none" w:sz="0" w:space="0" w:color="auto"/>
        <w:right w:val="none" w:sz="0" w:space="0" w:color="auto"/>
      </w:divBdr>
    </w:div>
    <w:div w:id="1441684491">
      <w:bodyDiv w:val="1"/>
      <w:marLeft w:val="0"/>
      <w:marRight w:val="0"/>
      <w:marTop w:val="0"/>
      <w:marBottom w:val="0"/>
      <w:divBdr>
        <w:top w:val="none" w:sz="0" w:space="0" w:color="auto"/>
        <w:left w:val="none" w:sz="0" w:space="0" w:color="auto"/>
        <w:bottom w:val="none" w:sz="0" w:space="0" w:color="auto"/>
        <w:right w:val="none" w:sz="0" w:space="0" w:color="auto"/>
      </w:divBdr>
    </w:div>
    <w:div w:id="1570847531">
      <w:bodyDiv w:val="1"/>
      <w:marLeft w:val="0"/>
      <w:marRight w:val="0"/>
      <w:marTop w:val="0"/>
      <w:marBottom w:val="0"/>
      <w:divBdr>
        <w:top w:val="none" w:sz="0" w:space="0" w:color="auto"/>
        <w:left w:val="none" w:sz="0" w:space="0" w:color="auto"/>
        <w:bottom w:val="none" w:sz="0" w:space="0" w:color="auto"/>
        <w:right w:val="none" w:sz="0" w:space="0" w:color="auto"/>
      </w:divBdr>
    </w:div>
    <w:div w:id="2130706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20minutes.fr/dossier/inegalites_salariales" TargetMode="External"/><Relationship Id="rId8" Type="http://schemas.openxmlformats.org/officeDocument/2006/relationships/hyperlink" Target="http://www.20minutes.fr/societe/1953247-20161102-inegalites-salariales-francaises-appelees-mettre-greve-partir-lundi-7-novembre-16h34" TargetMode="Externa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1067</Words>
  <Characters>5874</Characters>
  <Application>Microsoft Macintosh Word</Application>
  <DocSecurity>0</DocSecurity>
  <Lines>48</Lines>
  <Paragraphs>13</Paragraphs>
  <ScaleCrop>false</ScaleCrop>
  <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JAKUBIEC</dc:creator>
  <cp:keywords/>
  <dc:description/>
  <cp:lastModifiedBy>Alexandre JAKUBIEC</cp:lastModifiedBy>
  <cp:revision>7</cp:revision>
  <dcterms:created xsi:type="dcterms:W3CDTF">2018-01-05T22:56:00Z</dcterms:created>
  <dcterms:modified xsi:type="dcterms:W3CDTF">2018-01-07T00:01:00Z</dcterms:modified>
</cp:coreProperties>
</file>