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0C8" w:rsidRDefault="004920C8">
      <w:pPr>
        <w:pStyle w:val="Corpsdetexte"/>
        <w:rPr>
          <w:rFonts w:ascii="Times New Roman"/>
        </w:rPr>
      </w:pPr>
    </w:p>
    <w:p w:rsidR="004920C8" w:rsidRDefault="004920C8">
      <w:pPr>
        <w:pStyle w:val="Corpsdetexte"/>
        <w:rPr>
          <w:rFonts w:ascii="Times New Roman"/>
        </w:rPr>
      </w:pPr>
    </w:p>
    <w:p w:rsidR="004920C8" w:rsidRDefault="004920C8">
      <w:pPr>
        <w:pStyle w:val="Corpsdetexte"/>
        <w:spacing w:before="1"/>
        <w:rPr>
          <w:rFonts w:ascii="Times New Roman"/>
          <w:sz w:val="21"/>
        </w:rPr>
      </w:pPr>
    </w:p>
    <w:p w:rsidR="004920C8" w:rsidRPr="009E7B3B" w:rsidRDefault="005F4F8E">
      <w:pPr>
        <w:spacing w:after="5"/>
        <w:ind w:left="1116"/>
        <w:rPr>
          <w:b/>
          <w:sz w:val="20"/>
        </w:rPr>
      </w:pPr>
      <w:bookmarkStart w:id="0" w:name="_GoBack"/>
      <w:r w:rsidRPr="009E7B3B">
        <w:rPr>
          <w:b/>
          <w:color w:val="17818E"/>
          <w:sz w:val="20"/>
        </w:rPr>
        <w:t>Badminton CAP BEP (référentiel rénové 2017)</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
        <w:gridCol w:w="1704"/>
        <w:gridCol w:w="4157"/>
        <w:gridCol w:w="3823"/>
        <w:gridCol w:w="5201"/>
      </w:tblGrid>
      <w:tr w:rsidR="004920C8">
        <w:trPr>
          <w:trHeight w:val="160"/>
        </w:trPr>
        <w:tc>
          <w:tcPr>
            <w:tcW w:w="2803" w:type="dxa"/>
            <w:gridSpan w:val="2"/>
          </w:tcPr>
          <w:bookmarkEnd w:id="0"/>
          <w:p w:rsidR="004920C8" w:rsidRDefault="005F4F8E">
            <w:pPr>
              <w:pStyle w:val="TableParagraph"/>
              <w:spacing w:line="140" w:lineRule="exact"/>
              <w:ind w:left="535"/>
              <w:rPr>
                <w:sz w:val="16"/>
              </w:rPr>
            </w:pPr>
            <w:r>
              <w:rPr>
                <w:color w:val="17818E"/>
                <w:sz w:val="16"/>
              </w:rPr>
              <w:t>Compétences attendues</w:t>
            </w:r>
          </w:p>
        </w:tc>
        <w:tc>
          <w:tcPr>
            <w:tcW w:w="13181" w:type="dxa"/>
            <w:gridSpan w:val="3"/>
          </w:tcPr>
          <w:p w:rsidR="004920C8" w:rsidRDefault="005F4F8E">
            <w:pPr>
              <w:pStyle w:val="TableParagraph"/>
              <w:spacing w:line="140" w:lineRule="exact"/>
              <w:ind w:left="5306" w:right="5289"/>
              <w:jc w:val="center"/>
              <w:rPr>
                <w:sz w:val="16"/>
              </w:rPr>
            </w:pPr>
            <w:r>
              <w:rPr>
                <w:color w:val="17818E"/>
                <w:sz w:val="16"/>
              </w:rPr>
              <w:t>Principes d’élaboration de l’épreuve</w:t>
            </w:r>
          </w:p>
        </w:tc>
      </w:tr>
      <w:tr w:rsidR="004920C8" w:rsidRPr="009E7B3B">
        <w:trPr>
          <w:trHeight w:val="1656"/>
        </w:trPr>
        <w:tc>
          <w:tcPr>
            <w:tcW w:w="2803" w:type="dxa"/>
            <w:gridSpan w:val="2"/>
          </w:tcPr>
          <w:p w:rsidR="004920C8" w:rsidRPr="009E7B3B" w:rsidRDefault="004920C8">
            <w:pPr>
              <w:pStyle w:val="TableParagraph"/>
              <w:spacing w:before="6"/>
              <w:rPr>
                <w:b/>
                <w:sz w:val="15"/>
              </w:rPr>
            </w:pPr>
          </w:p>
          <w:p w:rsidR="004920C8" w:rsidRPr="009E7B3B" w:rsidRDefault="005F4F8E">
            <w:pPr>
              <w:pStyle w:val="TableParagraph"/>
              <w:ind w:left="107"/>
              <w:rPr>
                <w:b/>
                <w:sz w:val="16"/>
              </w:rPr>
            </w:pPr>
            <w:r w:rsidRPr="009E7B3B">
              <w:rPr>
                <w:b/>
                <w:sz w:val="16"/>
              </w:rPr>
              <w:t>Niveau 3</w:t>
            </w:r>
          </w:p>
          <w:p w:rsidR="004920C8" w:rsidRPr="009E7B3B" w:rsidRDefault="005F4F8E">
            <w:pPr>
              <w:pStyle w:val="TableParagraph"/>
              <w:ind w:left="107" w:right="371"/>
              <w:rPr>
                <w:sz w:val="16"/>
              </w:rPr>
            </w:pPr>
            <w:r w:rsidRPr="009E7B3B">
              <w:rPr>
                <w:sz w:val="16"/>
              </w:rPr>
              <w:t>Pour gagner le match, s’investir et produire volontairement des trajectoires variées en identifiant et utilisant les espaces libres pour mettre son adversaire en situation défavorable</w:t>
            </w:r>
          </w:p>
        </w:tc>
        <w:tc>
          <w:tcPr>
            <w:tcW w:w="13181" w:type="dxa"/>
            <w:gridSpan w:val="3"/>
          </w:tcPr>
          <w:p w:rsidR="004920C8" w:rsidRPr="009E7B3B" w:rsidRDefault="005F4F8E">
            <w:pPr>
              <w:pStyle w:val="TableParagraph"/>
              <w:ind w:left="110" w:right="86"/>
              <w:rPr>
                <w:sz w:val="16"/>
              </w:rPr>
            </w:pPr>
            <w:r w:rsidRPr="009E7B3B">
              <w:rPr>
                <w:sz w:val="16"/>
              </w:rPr>
              <w:t xml:space="preserve">Les matchs se </w:t>
            </w:r>
            <w:r w:rsidRPr="009E7B3B">
              <w:rPr>
                <w:spacing w:val="-5"/>
                <w:sz w:val="16"/>
              </w:rPr>
              <w:t xml:space="preserve">jouent </w:t>
            </w:r>
            <w:r w:rsidRPr="009E7B3B">
              <w:rPr>
                <w:spacing w:val="-3"/>
                <w:sz w:val="16"/>
              </w:rPr>
              <w:t xml:space="preserve">en </w:t>
            </w:r>
            <w:r w:rsidRPr="009E7B3B">
              <w:rPr>
                <w:spacing w:val="-4"/>
                <w:sz w:val="16"/>
              </w:rPr>
              <w:t xml:space="preserve">deux sets </w:t>
            </w:r>
            <w:r w:rsidRPr="009E7B3B">
              <w:rPr>
                <w:spacing w:val="-3"/>
                <w:sz w:val="16"/>
              </w:rPr>
              <w:t xml:space="preserve">de </w:t>
            </w:r>
            <w:r w:rsidRPr="009E7B3B">
              <w:rPr>
                <w:sz w:val="16"/>
              </w:rPr>
              <w:t xml:space="preserve">11 </w:t>
            </w:r>
            <w:r w:rsidRPr="009E7B3B">
              <w:rPr>
                <w:spacing w:val="-5"/>
                <w:sz w:val="16"/>
              </w:rPr>
              <w:t xml:space="preserve">points. </w:t>
            </w:r>
            <w:r w:rsidRPr="009E7B3B">
              <w:rPr>
                <w:spacing w:val="-4"/>
                <w:sz w:val="16"/>
              </w:rPr>
              <w:t xml:space="preserve">Les </w:t>
            </w:r>
            <w:r w:rsidRPr="009E7B3B">
              <w:rPr>
                <w:spacing w:val="-5"/>
                <w:sz w:val="16"/>
              </w:rPr>
              <w:t xml:space="preserve">règles essentielles </w:t>
            </w:r>
            <w:r w:rsidRPr="009E7B3B">
              <w:rPr>
                <w:spacing w:val="-4"/>
                <w:sz w:val="16"/>
              </w:rPr>
              <w:t xml:space="preserve">sont </w:t>
            </w:r>
            <w:r w:rsidRPr="009E7B3B">
              <w:rPr>
                <w:spacing w:val="-5"/>
                <w:sz w:val="16"/>
              </w:rPr>
              <w:t xml:space="preserve">celles </w:t>
            </w:r>
            <w:r w:rsidRPr="009E7B3B">
              <w:rPr>
                <w:spacing w:val="-3"/>
                <w:sz w:val="16"/>
              </w:rPr>
              <w:t xml:space="preserve">du </w:t>
            </w:r>
            <w:r w:rsidRPr="009E7B3B">
              <w:rPr>
                <w:spacing w:val="-5"/>
                <w:sz w:val="16"/>
              </w:rPr>
              <w:t xml:space="preserve">badminton. Chaque candidat(e) dispute plusieurs </w:t>
            </w:r>
            <w:r w:rsidRPr="009E7B3B">
              <w:rPr>
                <w:spacing w:val="-4"/>
                <w:sz w:val="16"/>
              </w:rPr>
              <w:t xml:space="preserve">matchs </w:t>
            </w:r>
            <w:r w:rsidRPr="009E7B3B">
              <w:rPr>
                <w:spacing w:val="-5"/>
                <w:sz w:val="16"/>
              </w:rPr>
              <w:t xml:space="preserve">contre </w:t>
            </w:r>
            <w:r w:rsidRPr="009E7B3B">
              <w:rPr>
                <w:spacing w:val="-4"/>
                <w:sz w:val="16"/>
              </w:rPr>
              <w:t xml:space="preserve">des </w:t>
            </w:r>
            <w:r w:rsidRPr="009E7B3B">
              <w:rPr>
                <w:spacing w:val="-5"/>
                <w:sz w:val="16"/>
              </w:rPr>
              <w:t xml:space="preserve">adversaires </w:t>
            </w:r>
            <w:r w:rsidRPr="009E7B3B">
              <w:rPr>
                <w:spacing w:val="-3"/>
                <w:sz w:val="16"/>
              </w:rPr>
              <w:t xml:space="preserve">de </w:t>
            </w:r>
            <w:r w:rsidRPr="009E7B3B">
              <w:rPr>
                <w:spacing w:val="-5"/>
                <w:sz w:val="16"/>
              </w:rPr>
              <w:t xml:space="preserve">niveau </w:t>
            </w:r>
            <w:r w:rsidRPr="009E7B3B">
              <w:rPr>
                <w:spacing w:val="-4"/>
                <w:sz w:val="16"/>
              </w:rPr>
              <w:t xml:space="preserve">proche dans des </w:t>
            </w:r>
            <w:r w:rsidRPr="009E7B3B">
              <w:rPr>
                <w:spacing w:val="-5"/>
                <w:sz w:val="16"/>
              </w:rPr>
              <w:t xml:space="preserve">poules homogènes. </w:t>
            </w:r>
            <w:r w:rsidRPr="009E7B3B">
              <w:rPr>
                <w:spacing w:val="-4"/>
                <w:sz w:val="16"/>
              </w:rPr>
              <w:t xml:space="preserve">Les matchs sont </w:t>
            </w:r>
            <w:r w:rsidRPr="009E7B3B">
              <w:rPr>
                <w:spacing w:val="-5"/>
                <w:sz w:val="16"/>
              </w:rPr>
              <w:t xml:space="preserve">arbitrés </w:t>
            </w:r>
            <w:r w:rsidRPr="009E7B3B">
              <w:rPr>
                <w:spacing w:val="-4"/>
                <w:sz w:val="16"/>
              </w:rPr>
              <w:t xml:space="preserve">par </w:t>
            </w:r>
            <w:r w:rsidRPr="009E7B3B">
              <w:rPr>
                <w:spacing w:val="-3"/>
                <w:sz w:val="16"/>
              </w:rPr>
              <w:t xml:space="preserve">un </w:t>
            </w:r>
            <w:r w:rsidRPr="009E7B3B">
              <w:rPr>
                <w:spacing w:val="-4"/>
                <w:sz w:val="16"/>
              </w:rPr>
              <w:t xml:space="preserve">des </w:t>
            </w:r>
            <w:r w:rsidRPr="009E7B3B">
              <w:rPr>
                <w:spacing w:val="-5"/>
                <w:sz w:val="16"/>
              </w:rPr>
              <w:t xml:space="preserve">joueurs </w:t>
            </w:r>
            <w:r w:rsidRPr="009E7B3B">
              <w:rPr>
                <w:spacing w:val="-3"/>
                <w:sz w:val="16"/>
              </w:rPr>
              <w:t xml:space="preserve">de </w:t>
            </w:r>
            <w:r w:rsidRPr="009E7B3B">
              <w:rPr>
                <w:sz w:val="16"/>
              </w:rPr>
              <w:t xml:space="preserve">la </w:t>
            </w:r>
            <w:r w:rsidRPr="009E7B3B">
              <w:rPr>
                <w:spacing w:val="-5"/>
                <w:sz w:val="16"/>
              </w:rPr>
              <w:t>poule.</w:t>
            </w:r>
          </w:p>
          <w:p w:rsidR="004920C8" w:rsidRPr="009E7B3B" w:rsidRDefault="005F4F8E">
            <w:pPr>
              <w:pStyle w:val="TableParagraph"/>
              <w:spacing w:before="4" w:line="182" w:lineRule="exact"/>
              <w:ind w:left="110"/>
              <w:rPr>
                <w:sz w:val="16"/>
              </w:rPr>
            </w:pPr>
            <w:r w:rsidRPr="009E7B3B">
              <w:rPr>
                <w:sz w:val="16"/>
              </w:rPr>
              <w:t>À l’issue des matchs, deux classements différents sont effectu</w:t>
            </w:r>
            <w:r w:rsidRPr="009E7B3B">
              <w:rPr>
                <w:sz w:val="16"/>
              </w:rPr>
              <w:t xml:space="preserve">és : </w:t>
            </w:r>
            <w:r w:rsidRPr="009E7B3B">
              <w:rPr>
                <w:sz w:val="16"/>
                <w:u w:val="single"/>
              </w:rPr>
              <w:t>un classement filles et garçons séparé</w:t>
            </w:r>
            <w:r w:rsidRPr="009E7B3B">
              <w:rPr>
                <w:sz w:val="16"/>
              </w:rPr>
              <w:t>s et un classement au sein de chaque poule (mixte ou non).</w:t>
            </w:r>
          </w:p>
          <w:p w:rsidR="004920C8" w:rsidRPr="009E7B3B" w:rsidRDefault="005F4F8E">
            <w:pPr>
              <w:pStyle w:val="TableParagraph"/>
              <w:spacing w:before="1"/>
              <w:ind w:left="110" w:right="86"/>
              <w:rPr>
                <w:sz w:val="16"/>
              </w:rPr>
            </w:pPr>
            <w:r w:rsidRPr="009E7B3B">
              <w:rPr>
                <w:spacing w:val="-5"/>
                <w:sz w:val="16"/>
              </w:rPr>
              <w:t xml:space="preserve">Remarques </w:t>
            </w:r>
            <w:r w:rsidRPr="009E7B3B">
              <w:rPr>
                <w:sz w:val="16"/>
              </w:rPr>
              <w:t xml:space="preserve">: </w:t>
            </w:r>
            <w:r w:rsidRPr="009E7B3B">
              <w:rPr>
                <w:spacing w:val="-4"/>
                <w:sz w:val="16"/>
              </w:rPr>
              <w:t xml:space="preserve">(1) </w:t>
            </w:r>
            <w:r w:rsidRPr="009E7B3B">
              <w:rPr>
                <w:sz w:val="16"/>
              </w:rPr>
              <w:t xml:space="preserve">À </w:t>
            </w:r>
            <w:r w:rsidRPr="009E7B3B">
              <w:rPr>
                <w:spacing w:val="-5"/>
                <w:sz w:val="16"/>
              </w:rPr>
              <w:t xml:space="preserve">propos </w:t>
            </w:r>
            <w:r w:rsidRPr="009E7B3B">
              <w:rPr>
                <w:sz w:val="16"/>
              </w:rPr>
              <w:t xml:space="preserve">du </w:t>
            </w:r>
            <w:r w:rsidRPr="009E7B3B">
              <w:rPr>
                <w:spacing w:val="-5"/>
                <w:sz w:val="16"/>
              </w:rPr>
              <w:t xml:space="preserve">principe d’équilibre </w:t>
            </w:r>
            <w:r w:rsidRPr="009E7B3B">
              <w:rPr>
                <w:sz w:val="16"/>
              </w:rPr>
              <w:t xml:space="preserve">du </w:t>
            </w:r>
            <w:r w:rsidRPr="009E7B3B">
              <w:rPr>
                <w:spacing w:val="-5"/>
                <w:sz w:val="16"/>
              </w:rPr>
              <w:t xml:space="preserve">rapport </w:t>
            </w:r>
            <w:r w:rsidRPr="009E7B3B">
              <w:rPr>
                <w:sz w:val="16"/>
              </w:rPr>
              <w:t xml:space="preserve">de </w:t>
            </w:r>
            <w:r w:rsidRPr="009E7B3B">
              <w:rPr>
                <w:spacing w:val="-4"/>
                <w:sz w:val="16"/>
              </w:rPr>
              <w:t xml:space="preserve">force </w:t>
            </w:r>
            <w:r w:rsidRPr="009E7B3B">
              <w:rPr>
                <w:sz w:val="16"/>
              </w:rPr>
              <w:t xml:space="preserve">: </w:t>
            </w:r>
            <w:r w:rsidRPr="009E7B3B">
              <w:rPr>
                <w:spacing w:val="-4"/>
                <w:sz w:val="16"/>
              </w:rPr>
              <w:t xml:space="preserve">Pour que les </w:t>
            </w:r>
            <w:r w:rsidRPr="009E7B3B">
              <w:rPr>
                <w:spacing w:val="-5"/>
                <w:sz w:val="16"/>
              </w:rPr>
              <w:t xml:space="preserve">compétences attendues soient révélées, </w:t>
            </w:r>
            <w:r w:rsidRPr="009E7B3B">
              <w:rPr>
                <w:spacing w:val="-4"/>
                <w:sz w:val="16"/>
              </w:rPr>
              <w:t xml:space="preserve">les </w:t>
            </w:r>
            <w:r w:rsidRPr="009E7B3B">
              <w:rPr>
                <w:spacing w:val="-5"/>
                <w:sz w:val="16"/>
              </w:rPr>
              <w:t xml:space="preserve">candidats </w:t>
            </w:r>
            <w:r w:rsidRPr="009E7B3B">
              <w:rPr>
                <w:spacing w:val="-4"/>
                <w:sz w:val="16"/>
              </w:rPr>
              <w:t xml:space="preserve">qui </w:t>
            </w:r>
            <w:r w:rsidRPr="009E7B3B">
              <w:rPr>
                <w:sz w:val="16"/>
              </w:rPr>
              <w:t xml:space="preserve">se </w:t>
            </w:r>
            <w:r w:rsidRPr="009E7B3B">
              <w:rPr>
                <w:spacing w:val="-5"/>
                <w:sz w:val="16"/>
              </w:rPr>
              <w:t xml:space="preserve">rencontrent doivent </w:t>
            </w:r>
            <w:r w:rsidRPr="009E7B3B">
              <w:rPr>
                <w:spacing w:val="-4"/>
                <w:sz w:val="16"/>
              </w:rPr>
              <w:t xml:space="preserve">être </w:t>
            </w:r>
            <w:r w:rsidRPr="009E7B3B">
              <w:rPr>
                <w:spacing w:val="-3"/>
                <w:sz w:val="16"/>
              </w:rPr>
              <w:t xml:space="preserve">de </w:t>
            </w:r>
            <w:r w:rsidRPr="009E7B3B">
              <w:rPr>
                <w:spacing w:val="-5"/>
                <w:sz w:val="16"/>
              </w:rPr>
              <w:t xml:space="preserve">niveau homogène (rapport </w:t>
            </w:r>
            <w:r w:rsidRPr="009E7B3B">
              <w:rPr>
                <w:sz w:val="16"/>
              </w:rPr>
              <w:t xml:space="preserve">de </w:t>
            </w:r>
            <w:r w:rsidRPr="009E7B3B">
              <w:rPr>
                <w:spacing w:val="-4"/>
                <w:sz w:val="16"/>
              </w:rPr>
              <w:t xml:space="preserve">force </w:t>
            </w:r>
            <w:r w:rsidRPr="009E7B3B">
              <w:rPr>
                <w:spacing w:val="-5"/>
                <w:sz w:val="16"/>
              </w:rPr>
              <w:t xml:space="preserve">équilibré). Ainsi, </w:t>
            </w:r>
            <w:r w:rsidRPr="009E7B3B">
              <w:rPr>
                <w:spacing w:val="-4"/>
                <w:sz w:val="16"/>
              </w:rPr>
              <w:t xml:space="preserve">filles </w:t>
            </w:r>
            <w:r w:rsidRPr="009E7B3B">
              <w:rPr>
                <w:spacing w:val="-3"/>
                <w:sz w:val="16"/>
              </w:rPr>
              <w:t xml:space="preserve">et </w:t>
            </w:r>
            <w:r w:rsidRPr="009E7B3B">
              <w:rPr>
                <w:spacing w:val="-5"/>
                <w:sz w:val="16"/>
              </w:rPr>
              <w:t xml:space="preserve">garçons peuvent </w:t>
            </w:r>
            <w:r w:rsidRPr="009E7B3B">
              <w:rPr>
                <w:spacing w:val="-4"/>
                <w:sz w:val="16"/>
              </w:rPr>
              <w:t xml:space="preserve">être </w:t>
            </w:r>
            <w:r w:rsidRPr="009E7B3B">
              <w:rPr>
                <w:spacing w:val="-5"/>
                <w:sz w:val="16"/>
              </w:rPr>
              <w:t xml:space="preserve">évalués </w:t>
            </w:r>
            <w:r w:rsidRPr="009E7B3B">
              <w:rPr>
                <w:spacing w:val="-3"/>
                <w:sz w:val="16"/>
              </w:rPr>
              <w:t xml:space="preserve">au </w:t>
            </w:r>
            <w:r w:rsidRPr="009E7B3B">
              <w:rPr>
                <w:spacing w:val="-4"/>
                <w:sz w:val="16"/>
              </w:rPr>
              <w:t xml:space="preserve">sein d’une </w:t>
            </w:r>
            <w:r w:rsidRPr="009E7B3B">
              <w:rPr>
                <w:spacing w:val="-3"/>
                <w:sz w:val="16"/>
              </w:rPr>
              <w:t xml:space="preserve">même </w:t>
            </w:r>
            <w:r w:rsidRPr="009E7B3B">
              <w:rPr>
                <w:spacing w:val="-5"/>
                <w:sz w:val="16"/>
              </w:rPr>
              <w:t xml:space="preserve">poule. </w:t>
            </w:r>
            <w:r w:rsidRPr="009E7B3B">
              <w:rPr>
                <w:sz w:val="16"/>
              </w:rPr>
              <w:t xml:space="preserve">Il </w:t>
            </w:r>
            <w:r w:rsidRPr="009E7B3B">
              <w:rPr>
                <w:spacing w:val="-4"/>
                <w:sz w:val="16"/>
              </w:rPr>
              <w:t xml:space="preserve">faut </w:t>
            </w:r>
            <w:r w:rsidRPr="009E7B3B">
              <w:rPr>
                <w:spacing w:val="-5"/>
                <w:sz w:val="16"/>
              </w:rPr>
              <w:t xml:space="preserve">cependant veiller </w:t>
            </w:r>
            <w:r w:rsidRPr="009E7B3B">
              <w:rPr>
                <w:sz w:val="16"/>
              </w:rPr>
              <w:t xml:space="preserve">à ce </w:t>
            </w:r>
            <w:r w:rsidRPr="009E7B3B">
              <w:rPr>
                <w:spacing w:val="-4"/>
                <w:sz w:val="16"/>
              </w:rPr>
              <w:t xml:space="preserve">que </w:t>
            </w:r>
            <w:r w:rsidRPr="009E7B3B">
              <w:rPr>
                <w:spacing w:val="-3"/>
                <w:sz w:val="16"/>
              </w:rPr>
              <w:t xml:space="preserve">le </w:t>
            </w:r>
            <w:r w:rsidRPr="009E7B3B">
              <w:rPr>
                <w:spacing w:val="-5"/>
                <w:sz w:val="16"/>
              </w:rPr>
              <w:t xml:space="preserve">niveau </w:t>
            </w:r>
            <w:r w:rsidRPr="009E7B3B">
              <w:rPr>
                <w:spacing w:val="-4"/>
                <w:sz w:val="16"/>
              </w:rPr>
              <w:t xml:space="preserve">des </w:t>
            </w:r>
            <w:r w:rsidRPr="009E7B3B">
              <w:rPr>
                <w:spacing w:val="-5"/>
                <w:sz w:val="16"/>
              </w:rPr>
              <w:t xml:space="preserve">candidates filles </w:t>
            </w:r>
            <w:r w:rsidRPr="009E7B3B">
              <w:rPr>
                <w:spacing w:val="-4"/>
                <w:sz w:val="16"/>
              </w:rPr>
              <w:t xml:space="preserve">soit </w:t>
            </w:r>
            <w:r w:rsidRPr="009E7B3B">
              <w:rPr>
                <w:spacing w:val="-5"/>
                <w:sz w:val="16"/>
              </w:rPr>
              <w:t xml:space="preserve">apprécié </w:t>
            </w:r>
            <w:r w:rsidRPr="009E7B3B">
              <w:rPr>
                <w:spacing w:val="-3"/>
                <w:sz w:val="16"/>
              </w:rPr>
              <w:t xml:space="preserve">et </w:t>
            </w:r>
            <w:r w:rsidRPr="009E7B3B">
              <w:rPr>
                <w:spacing w:val="-5"/>
                <w:sz w:val="16"/>
              </w:rPr>
              <w:t xml:space="preserve">évalué </w:t>
            </w:r>
            <w:r w:rsidRPr="009E7B3B">
              <w:rPr>
                <w:spacing w:val="-3"/>
                <w:sz w:val="16"/>
              </w:rPr>
              <w:t xml:space="preserve">en </w:t>
            </w:r>
            <w:r w:rsidRPr="009E7B3B">
              <w:rPr>
                <w:spacing w:val="-5"/>
                <w:sz w:val="16"/>
              </w:rPr>
              <w:t xml:space="preserve">fonction </w:t>
            </w:r>
            <w:r w:rsidRPr="009E7B3B">
              <w:rPr>
                <w:sz w:val="16"/>
              </w:rPr>
              <w:t xml:space="preserve">de </w:t>
            </w:r>
            <w:r w:rsidRPr="009E7B3B">
              <w:rPr>
                <w:spacing w:val="-4"/>
                <w:sz w:val="16"/>
              </w:rPr>
              <w:t>celu</w:t>
            </w:r>
            <w:r w:rsidRPr="009E7B3B">
              <w:rPr>
                <w:spacing w:val="-4"/>
                <w:sz w:val="16"/>
              </w:rPr>
              <w:t xml:space="preserve">i des </w:t>
            </w:r>
            <w:r w:rsidRPr="009E7B3B">
              <w:rPr>
                <w:spacing w:val="-5"/>
                <w:sz w:val="16"/>
              </w:rPr>
              <w:t xml:space="preserve">autres </w:t>
            </w:r>
            <w:r w:rsidRPr="009E7B3B">
              <w:rPr>
                <w:spacing w:val="-4"/>
                <w:sz w:val="16"/>
              </w:rPr>
              <w:t xml:space="preserve">filles (tout comme les </w:t>
            </w:r>
            <w:r w:rsidRPr="009E7B3B">
              <w:rPr>
                <w:spacing w:val="-5"/>
                <w:sz w:val="16"/>
              </w:rPr>
              <w:t>candidats garçons).</w:t>
            </w:r>
          </w:p>
          <w:p w:rsidR="004920C8" w:rsidRPr="009E7B3B" w:rsidRDefault="005F4F8E">
            <w:pPr>
              <w:pStyle w:val="TableParagraph"/>
              <w:spacing w:line="182" w:lineRule="exact"/>
              <w:ind w:left="110"/>
              <w:rPr>
                <w:sz w:val="16"/>
              </w:rPr>
            </w:pPr>
            <w:r w:rsidRPr="009E7B3B">
              <w:rPr>
                <w:sz w:val="16"/>
              </w:rPr>
              <w:t xml:space="preserve">(2) Veiller à </w:t>
            </w:r>
            <w:r w:rsidRPr="009E7B3B">
              <w:rPr>
                <w:b/>
                <w:sz w:val="16"/>
              </w:rPr>
              <w:t xml:space="preserve">valoriser de manière équitable </w:t>
            </w:r>
            <w:r w:rsidRPr="009E7B3B">
              <w:rPr>
                <w:sz w:val="16"/>
              </w:rPr>
              <w:t>des registres ou des styles de jeu qui peuvent être différents (vitesse des frappes, exploitation du volume et des espaces).</w:t>
            </w:r>
          </w:p>
          <w:p w:rsidR="004920C8" w:rsidRPr="009E7B3B" w:rsidRDefault="005F4F8E">
            <w:pPr>
              <w:pStyle w:val="TableParagraph"/>
              <w:spacing w:before="8" w:line="182" w:lineRule="exact"/>
              <w:ind w:left="110" w:right="86"/>
              <w:rPr>
                <w:sz w:val="16"/>
              </w:rPr>
            </w:pPr>
            <w:r w:rsidRPr="009E7B3B">
              <w:rPr>
                <w:spacing w:val="-4"/>
                <w:sz w:val="16"/>
              </w:rPr>
              <w:t xml:space="preserve">Les </w:t>
            </w:r>
            <w:r w:rsidRPr="009E7B3B">
              <w:rPr>
                <w:spacing w:val="-5"/>
                <w:sz w:val="16"/>
              </w:rPr>
              <w:t xml:space="preserve">évaluateurs </w:t>
            </w:r>
            <w:r w:rsidRPr="009E7B3B">
              <w:rPr>
                <w:spacing w:val="-4"/>
                <w:sz w:val="16"/>
              </w:rPr>
              <w:t xml:space="preserve">ont </w:t>
            </w:r>
            <w:r w:rsidRPr="009E7B3B">
              <w:rPr>
                <w:sz w:val="16"/>
              </w:rPr>
              <w:t xml:space="preserve">la </w:t>
            </w:r>
            <w:r w:rsidRPr="009E7B3B">
              <w:rPr>
                <w:spacing w:val="-5"/>
                <w:sz w:val="16"/>
              </w:rPr>
              <w:t>respons</w:t>
            </w:r>
            <w:r w:rsidRPr="009E7B3B">
              <w:rPr>
                <w:spacing w:val="-5"/>
                <w:sz w:val="16"/>
              </w:rPr>
              <w:t xml:space="preserve">abilité </w:t>
            </w:r>
            <w:r w:rsidRPr="009E7B3B">
              <w:rPr>
                <w:spacing w:val="-3"/>
                <w:sz w:val="16"/>
              </w:rPr>
              <w:t xml:space="preserve">de </w:t>
            </w:r>
            <w:r w:rsidRPr="009E7B3B">
              <w:rPr>
                <w:spacing w:val="-4"/>
                <w:sz w:val="16"/>
              </w:rPr>
              <w:t xml:space="preserve">tenir compte </w:t>
            </w:r>
            <w:r w:rsidRPr="009E7B3B">
              <w:rPr>
                <w:spacing w:val="-3"/>
                <w:sz w:val="16"/>
              </w:rPr>
              <w:t xml:space="preserve">de </w:t>
            </w:r>
            <w:r w:rsidRPr="009E7B3B">
              <w:rPr>
                <w:spacing w:val="-4"/>
                <w:sz w:val="16"/>
              </w:rPr>
              <w:t xml:space="preserve">ces </w:t>
            </w:r>
            <w:r w:rsidRPr="009E7B3B">
              <w:rPr>
                <w:spacing w:val="-5"/>
                <w:sz w:val="16"/>
              </w:rPr>
              <w:t xml:space="preserve">différences dans </w:t>
            </w:r>
            <w:r w:rsidRPr="009E7B3B">
              <w:rPr>
                <w:spacing w:val="-4"/>
                <w:sz w:val="16"/>
              </w:rPr>
              <w:t xml:space="preserve">les </w:t>
            </w:r>
            <w:r w:rsidRPr="009E7B3B">
              <w:rPr>
                <w:spacing w:val="-5"/>
                <w:sz w:val="16"/>
              </w:rPr>
              <w:t xml:space="preserve">appréciations qualitatives </w:t>
            </w:r>
            <w:r w:rsidRPr="009E7B3B">
              <w:rPr>
                <w:spacing w:val="-3"/>
                <w:sz w:val="16"/>
              </w:rPr>
              <w:t xml:space="preserve">et le </w:t>
            </w:r>
            <w:r w:rsidRPr="009E7B3B">
              <w:rPr>
                <w:spacing w:val="-5"/>
                <w:sz w:val="16"/>
              </w:rPr>
              <w:t xml:space="preserve">passage </w:t>
            </w:r>
            <w:r w:rsidRPr="009E7B3B">
              <w:rPr>
                <w:sz w:val="16"/>
              </w:rPr>
              <w:t xml:space="preserve">à </w:t>
            </w:r>
            <w:r w:rsidRPr="009E7B3B">
              <w:rPr>
                <w:spacing w:val="-3"/>
                <w:sz w:val="16"/>
              </w:rPr>
              <w:t xml:space="preserve">la </w:t>
            </w:r>
            <w:r w:rsidRPr="009E7B3B">
              <w:rPr>
                <w:spacing w:val="-4"/>
                <w:sz w:val="16"/>
              </w:rPr>
              <w:t xml:space="preserve">note. Les </w:t>
            </w:r>
            <w:r w:rsidRPr="009E7B3B">
              <w:rPr>
                <w:spacing w:val="-5"/>
                <w:sz w:val="16"/>
              </w:rPr>
              <w:t xml:space="preserve">appréciations </w:t>
            </w:r>
            <w:r w:rsidRPr="009E7B3B">
              <w:rPr>
                <w:spacing w:val="-3"/>
                <w:sz w:val="16"/>
              </w:rPr>
              <w:t xml:space="preserve">et </w:t>
            </w:r>
            <w:r w:rsidRPr="009E7B3B">
              <w:rPr>
                <w:spacing w:val="-4"/>
                <w:sz w:val="16"/>
              </w:rPr>
              <w:t xml:space="preserve">notes sont </w:t>
            </w:r>
            <w:r w:rsidRPr="009E7B3B">
              <w:rPr>
                <w:spacing w:val="-5"/>
                <w:sz w:val="16"/>
              </w:rPr>
              <w:t xml:space="preserve">attribuées </w:t>
            </w:r>
            <w:r w:rsidRPr="009E7B3B">
              <w:rPr>
                <w:spacing w:val="-4"/>
                <w:sz w:val="16"/>
              </w:rPr>
              <w:t xml:space="preserve">sans </w:t>
            </w:r>
            <w:r w:rsidRPr="009E7B3B">
              <w:rPr>
                <w:spacing w:val="-5"/>
                <w:sz w:val="16"/>
              </w:rPr>
              <w:t xml:space="preserve">comparer </w:t>
            </w:r>
            <w:r w:rsidRPr="009E7B3B">
              <w:rPr>
                <w:spacing w:val="-3"/>
                <w:sz w:val="16"/>
              </w:rPr>
              <w:t xml:space="preserve">les </w:t>
            </w:r>
            <w:r w:rsidRPr="009E7B3B">
              <w:rPr>
                <w:spacing w:val="-5"/>
                <w:sz w:val="16"/>
              </w:rPr>
              <w:t xml:space="preserve">prestations </w:t>
            </w:r>
            <w:r w:rsidRPr="009E7B3B">
              <w:rPr>
                <w:spacing w:val="-4"/>
                <w:sz w:val="16"/>
              </w:rPr>
              <w:t xml:space="preserve">des filles avec </w:t>
            </w:r>
            <w:r w:rsidRPr="009E7B3B">
              <w:rPr>
                <w:spacing w:val="-5"/>
                <w:sz w:val="16"/>
              </w:rPr>
              <w:t xml:space="preserve">celles </w:t>
            </w:r>
            <w:r w:rsidRPr="009E7B3B">
              <w:rPr>
                <w:spacing w:val="-4"/>
                <w:sz w:val="16"/>
              </w:rPr>
              <w:t xml:space="preserve">des </w:t>
            </w:r>
            <w:r w:rsidRPr="009E7B3B">
              <w:rPr>
                <w:spacing w:val="-5"/>
                <w:sz w:val="16"/>
              </w:rPr>
              <w:t>garçons.</w:t>
            </w:r>
          </w:p>
        </w:tc>
      </w:tr>
      <w:tr w:rsidR="004920C8" w:rsidRPr="009E7B3B">
        <w:trPr>
          <w:trHeight w:val="410"/>
        </w:trPr>
        <w:tc>
          <w:tcPr>
            <w:tcW w:w="1099" w:type="dxa"/>
          </w:tcPr>
          <w:p w:rsidR="004920C8" w:rsidRDefault="005F4F8E">
            <w:pPr>
              <w:pStyle w:val="TableParagraph"/>
              <w:spacing w:before="15"/>
              <w:ind w:left="259" w:right="209" w:hanging="22"/>
              <w:rPr>
                <w:b/>
                <w:sz w:val="16"/>
              </w:rPr>
            </w:pPr>
            <w:r>
              <w:rPr>
                <w:b/>
                <w:sz w:val="16"/>
              </w:rPr>
              <w:t>Points à affecter</w:t>
            </w:r>
          </w:p>
        </w:tc>
        <w:tc>
          <w:tcPr>
            <w:tcW w:w="1704" w:type="dxa"/>
          </w:tcPr>
          <w:p w:rsidR="004920C8" w:rsidRDefault="005F4F8E">
            <w:pPr>
              <w:pStyle w:val="TableParagraph"/>
              <w:spacing w:before="106"/>
              <w:ind w:left="134"/>
              <w:rPr>
                <w:b/>
                <w:sz w:val="16"/>
              </w:rPr>
            </w:pPr>
            <w:r>
              <w:rPr>
                <w:b/>
                <w:sz w:val="16"/>
              </w:rPr>
              <w:t>Éléments à évaluer</w:t>
            </w:r>
          </w:p>
        </w:tc>
        <w:tc>
          <w:tcPr>
            <w:tcW w:w="4157" w:type="dxa"/>
          </w:tcPr>
          <w:p w:rsidR="004920C8" w:rsidRPr="009E7B3B" w:rsidRDefault="005F4F8E">
            <w:pPr>
              <w:pStyle w:val="TableParagraph"/>
              <w:spacing w:before="13"/>
              <w:ind w:left="891" w:right="815"/>
              <w:jc w:val="center"/>
              <w:rPr>
                <w:b/>
                <w:sz w:val="16"/>
              </w:rPr>
            </w:pPr>
            <w:r w:rsidRPr="009E7B3B">
              <w:rPr>
                <w:b/>
                <w:sz w:val="16"/>
              </w:rPr>
              <w:t>Niveau 3 en cours d’acquisition</w:t>
            </w:r>
          </w:p>
          <w:p w:rsidR="004920C8" w:rsidRPr="009E7B3B" w:rsidRDefault="005F4F8E">
            <w:pPr>
              <w:pStyle w:val="TableParagraph"/>
              <w:spacing w:before="20" w:line="173" w:lineRule="exact"/>
              <w:ind w:left="891" w:right="813"/>
              <w:jc w:val="center"/>
              <w:rPr>
                <w:sz w:val="16"/>
              </w:rPr>
            </w:pPr>
            <w:r w:rsidRPr="009E7B3B">
              <w:rPr>
                <w:sz w:val="16"/>
              </w:rPr>
              <w:t>de 0 à 9 pts</w:t>
            </w:r>
          </w:p>
        </w:tc>
        <w:tc>
          <w:tcPr>
            <w:tcW w:w="9024" w:type="dxa"/>
            <w:gridSpan w:val="2"/>
          </w:tcPr>
          <w:p w:rsidR="004920C8" w:rsidRPr="009E7B3B" w:rsidRDefault="005F4F8E">
            <w:pPr>
              <w:pStyle w:val="TableParagraph"/>
              <w:spacing w:before="15"/>
              <w:ind w:left="3348" w:right="3127"/>
              <w:jc w:val="center"/>
              <w:rPr>
                <w:b/>
                <w:sz w:val="16"/>
              </w:rPr>
            </w:pPr>
            <w:r w:rsidRPr="009E7B3B">
              <w:rPr>
                <w:b/>
                <w:sz w:val="16"/>
              </w:rPr>
              <w:t>Degrés d’acquisition du niveau 3</w:t>
            </w:r>
          </w:p>
          <w:p w:rsidR="004920C8" w:rsidRPr="009E7B3B" w:rsidRDefault="005F4F8E">
            <w:pPr>
              <w:pStyle w:val="TableParagraph"/>
              <w:ind w:left="3348" w:right="3127"/>
              <w:jc w:val="center"/>
              <w:rPr>
                <w:sz w:val="16"/>
              </w:rPr>
            </w:pPr>
            <w:r w:rsidRPr="009E7B3B">
              <w:rPr>
                <w:sz w:val="16"/>
              </w:rPr>
              <w:t>de 10 à 20 pts</w:t>
            </w:r>
          </w:p>
        </w:tc>
      </w:tr>
      <w:tr w:rsidR="004920C8" w:rsidRPr="009E7B3B">
        <w:trPr>
          <w:trHeight w:val="1840"/>
        </w:trPr>
        <w:tc>
          <w:tcPr>
            <w:tcW w:w="1099" w:type="dxa"/>
          </w:tcPr>
          <w:p w:rsidR="004920C8" w:rsidRPr="009E7B3B" w:rsidRDefault="004920C8">
            <w:pPr>
              <w:pStyle w:val="TableParagraph"/>
              <w:rPr>
                <w:b/>
                <w:sz w:val="18"/>
              </w:rPr>
            </w:pPr>
          </w:p>
          <w:p w:rsidR="004920C8" w:rsidRPr="009E7B3B" w:rsidRDefault="004920C8">
            <w:pPr>
              <w:pStyle w:val="TableParagraph"/>
              <w:rPr>
                <w:b/>
                <w:sz w:val="18"/>
              </w:rPr>
            </w:pPr>
          </w:p>
          <w:p w:rsidR="004920C8" w:rsidRPr="009E7B3B" w:rsidRDefault="004920C8">
            <w:pPr>
              <w:pStyle w:val="TableParagraph"/>
              <w:rPr>
                <w:b/>
                <w:sz w:val="18"/>
              </w:rPr>
            </w:pPr>
          </w:p>
          <w:p w:rsidR="004920C8" w:rsidRPr="009E7B3B" w:rsidRDefault="004920C8">
            <w:pPr>
              <w:pStyle w:val="TableParagraph"/>
              <w:spacing w:before="5"/>
              <w:rPr>
                <w:b/>
                <w:sz w:val="17"/>
              </w:rPr>
            </w:pPr>
          </w:p>
          <w:p w:rsidR="004920C8" w:rsidRDefault="005F4F8E">
            <w:pPr>
              <w:pStyle w:val="TableParagraph"/>
              <w:ind w:left="242"/>
              <w:rPr>
                <w:b/>
                <w:sz w:val="16"/>
              </w:rPr>
            </w:pPr>
            <w:r>
              <w:rPr>
                <w:b/>
                <w:sz w:val="16"/>
              </w:rPr>
              <w:t>5 points</w:t>
            </w:r>
          </w:p>
        </w:tc>
        <w:tc>
          <w:tcPr>
            <w:tcW w:w="1704" w:type="dxa"/>
          </w:tcPr>
          <w:p w:rsidR="004920C8" w:rsidRPr="009E7B3B" w:rsidRDefault="004920C8">
            <w:pPr>
              <w:pStyle w:val="TableParagraph"/>
              <w:rPr>
                <w:b/>
                <w:sz w:val="18"/>
              </w:rPr>
            </w:pPr>
          </w:p>
          <w:p w:rsidR="004920C8" w:rsidRPr="009E7B3B" w:rsidRDefault="004920C8">
            <w:pPr>
              <w:pStyle w:val="TableParagraph"/>
              <w:rPr>
                <w:b/>
                <w:sz w:val="18"/>
              </w:rPr>
            </w:pPr>
          </w:p>
          <w:p w:rsidR="004920C8" w:rsidRPr="009E7B3B" w:rsidRDefault="005F4F8E">
            <w:pPr>
              <w:pStyle w:val="TableParagraph"/>
              <w:spacing w:before="131"/>
              <w:ind w:left="127" w:right="337" w:hanging="1"/>
              <w:jc w:val="center"/>
              <w:rPr>
                <w:b/>
                <w:sz w:val="16"/>
              </w:rPr>
            </w:pPr>
            <w:r w:rsidRPr="009E7B3B">
              <w:rPr>
                <w:b/>
                <w:sz w:val="16"/>
              </w:rPr>
              <w:t>Gestion du rapport de force</w:t>
            </w:r>
            <w:r w:rsidRPr="009E7B3B">
              <w:rPr>
                <w:b/>
                <w:sz w:val="16"/>
              </w:rPr>
              <w:t xml:space="preserve"> </w:t>
            </w:r>
            <w:r w:rsidRPr="009E7B3B">
              <w:rPr>
                <w:b/>
                <w:sz w:val="16"/>
              </w:rPr>
              <w:t>et construction des points</w:t>
            </w:r>
          </w:p>
        </w:tc>
        <w:tc>
          <w:tcPr>
            <w:tcW w:w="4157" w:type="dxa"/>
          </w:tcPr>
          <w:p w:rsidR="004920C8" w:rsidRPr="009E7B3B" w:rsidRDefault="005F4F8E">
            <w:pPr>
              <w:pStyle w:val="TableParagraph"/>
              <w:spacing w:line="178" w:lineRule="exact"/>
              <w:ind w:left="1555"/>
              <w:rPr>
                <w:b/>
                <w:sz w:val="16"/>
              </w:rPr>
            </w:pPr>
            <w:r w:rsidRPr="009E7B3B">
              <w:rPr>
                <w:b/>
                <w:sz w:val="16"/>
              </w:rPr>
              <w:t>de 0 à 2,25pts</w:t>
            </w:r>
          </w:p>
          <w:p w:rsidR="004920C8" w:rsidRPr="009E7B3B" w:rsidRDefault="005F4F8E">
            <w:pPr>
              <w:pStyle w:val="TableParagraph"/>
              <w:spacing w:before="1"/>
              <w:ind w:left="168" w:right="250"/>
              <w:rPr>
                <w:sz w:val="16"/>
              </w:rPr>
            </w:pPr>
            <w:r w:rsidRPr="009E7B3B">
              <w:rPr>
                <w:sz w:val="16"/>
              </w:rPr>
              <w:t xml:space="preserve">Même en situation de confort, </w:t>
            </w:r>
            <w:r w:rsidRPr="009E7B3B">
              <w:rPr>
                <w:b/>
                <w:sz w:val="16"/>
              </w:rPr>
              <w:t>le candidat subit le rapport de force</w:t>
            </w:r>
            <w:r w:rsidRPr="009E7B3B">
              <w:rPr>
                <w:sz w:val="16"/>
              </w:rPr>
              <w:t>. Les rencontres peuvent être remportées grâce à de nombreuses fautes adverses non provoquées.</w:t>
            </w:r>
          </w:p>
          <w:p w:rsidR="004920C8" w:rsidRDefault="005F4F8E">
            <w:pPr>
              <w:pStyle w:val="TableParagraph"/>
              <w:ind w:left="168" w:right="169"/>
              <w:rPr>
                <w:sz w:val="16"/>
              </w:rPr>
            </w:pPr>
            <w:r w:rsidRPr="009E7B3B">
              <w:rPr>
                <w:sz w:val="16"/>
              </w:rPr>
              <w:t>Il n’y a pas de choix tactique pour la construction du point. L’intention prioritaire du candidat est la défense de son ½ terrain - le renvoi simple dans le ½ te</w:t>
            </w:r>
            <w:r w:rsidRPr="009E7B3B">
              <w:rPr>
                <w:sz w:val="16"/>
              </w:rPr>
              <w:t xml:space="preserve">rrain adverse. </w:t>
            </w:r>
            <w:r>
              <w:rPr>
                <w:sz w:val="16"/>
              </w:rPr>
              <w:t>Il n’y a pas de réelle volonté de rupture.</w:t>
            </w:r>
          </w:p>
        </w:tc>
        <w:tc>
          <w:tcPr>
            <w:tcW w:w="3823" w:type="dxa"/>
          </w:tcPr>
          <w:p w:rsidR="004920C8" w:rsidRPr="009E7B3B" w:rsidRDefault="005F4F8E">
            <w:pPr>
              <w:pStyle w:val="TableParagraph"/>
              <w:spacing w:line="178" w:lineRule="exact"/>
              <w:ind w:left="1313"/>
              <w:rPr>
                <w:b/>
                <w:sz w:val="16"/>
              </w:rPr>
            </w:pPr>
            <w:r w:rsidRPr="009E7B3B">
              <w:rPr>
                <w:b/>
                <w:sz w:val="16"/>
              </w:rPr>
              <w:t>de 2,5 à 3,5 pts</w:t>
            </w:r>
          </w:p>
          <w:p w:rsidR="004920C8" w:rsidRPr="009E7B3B" w:rsidRDefault="005F4F8E">
            <w:pPr>
              <w:pStyle w:val="TableParagraph"/>
              <w:spacing w:before="3"/>
              <w:ind w:left="108" w:right="145"/>
              <w:rPr>
                <w:b/>
                <w:sz w:val="16"/>
              </w:rPr>
            </w:pPr>
            <w:r w:rsidRPr="009E7B3B">
              <w:rPr>
                <w:sz w:val="16"/>
              </w:rPr>
              <w:t xml:space="preserve">Tant qu’il n’est pas trop proche du fond du court et/ou en crise de temps et/ou sur son revers haut, </w:t>
            </w:r>
            <w:r w:rsidRPr="009E7B3B">
              <w:rPr>
                <w:b/>
                <w:sz w:val="16"/>
              </w:rPr>
              <w:t>construit et marque grâce à des renvois variés dans l’axe central essentiellement.</w:t>
            </w:r>
          </w:p>
          <w:p w:rsidR="004920C8" w:rsidRPr="009E7B3B" w:rsidRDefault="005F4F8E">
            <w:pPr>
              <w:pStyle w:val="TableParagraph"/>
              <w:ind w:left="108" w:right="394"/>
              <w:rPr>
                <w:sz w:val="16"/>
              </w:rPr>
            </w:pPr>
            <w:r w:rsidRPr="009E7B3B">
              <w:rPr>
                <w:sz w:val="16"/>
              </w:rPr>
              <w:t>Tente d’exploiter sans que cela ne soit systématique ou décisif, les volants favorables (hauts dans la 1</w:t>
            </w:r>
            <w:r w:rsidRPr="009E7B3B">
              <w:rPr>
                <w:sz w:val="16"/>
                <w:vertAlign w:val="superscript"/>
              </w:rPr>
              <w:t>re</w:t>
            </w:r>
            <w:r w:rsidRPr="009E7B3B">
              <w:rPr>
                <w:sz w:val="16"/>
              </w:rPr>
              <w:t xml:space="preserve"> moitié du court).</w:t>
            </w:r>
          </w:p>
          <w:p w:rsidR="004920C8" w:rsidRPr="009E7B3B" w:rsidRDefault="005F4F8E">
            <w:pPr>
              <w:pStyle w:val="TableParagraph"/>
              <w:spacing w:line="186" w:lineRule="exact"/>
              <w:ind w:left="108" w:right="287"/>
              <w:rPr>
                <w:sz w:val="16"/>
              </w:rPr>
            </w:pPr>
            <w:r w:rsidRPr="009E7B3B">
              <w:rPr>
                <w:sz w:val="16"/>
              </w:rPr>
              <w:t xml:space="preserve">Le replacement est souvent en retard ou parfois </w:t>
            </w:r>
            <w:r w:rsidRPr="009E7B3B">
              <w:rPr>
                <w:sz w:val="16"/>
              </w:rPr>
              <w:t>absent.</w:t>
            </w:r>
          </w:p>
        </w:tc>
        <w:tc>
          <w:tcPr>
            <w:tcW w:w="5201" w:type="dxa"/>
          </w:tcPr>
          <w:p w:rsidR="004920C8" w:rsidRPr="009E7B3B" w:rsidRDefault="005F4F8E">
            <w:pPr>
              <w:pStyle w:val="TableParagraph"/>
              <w:spacing w:line="178" w:lineRule="exact"/>
              <w:ind w:left="2135"/>
              <w:rPr>
                <w:b/>
                <w:sz w:val="16"/>
              </w:rPr>
            </w:pPr>
            <w:r w:rsidRPr="009E7B3B">
              <w:rPr>
                <w:b/>
                <w:sz w:val="16"/>
              </w:rPr>
              <w:t>de 4 à 5 pts</w:t>
            </w:r>
          </w:p>
          <w:p w:rsidR="004920C8" w:rsidRPr="009E7B3B" w:rsidRDefault="005F4F8E">
            <w:pPr>
              <w:pStyle w:val="TableParagraph"/>
              <w:spacing w:before="3"/>
              <w:ind w:left="109" w:right="153"/>
              <w:jc w:val="both"/>
              <w:rPr>
                <w:sz w:val="16"/>
              </w:rPr>
            </w:pPr>
            <w:r w:rsidRPr="009E7B3B">
              <w:rPr>
                <w:sz w:val="16"/>
              </w:rPr>
              <w:t xml:space="preserve">Tant qu’il n’est pas trop proche du fond du court et/ou en crise de temps et/ou sur son revers haut, </w:t>
            </w:r>
            <w:r w:rsidRPr="009E7B3B">
              <w:rPr>
                <w:b/>
                <w:sz w:val="16"/>
              </w:rPr>
              <w:t xml:space="preserve">construit et marque avec des trajectoires variées dans la profondeur ou la largeur </w:t>
            </w:r>
            <w:r w:rsidRPr="009E7B3B">
              <w:rPr>
                <w:sz w:val="16"/>
              </w:rPr>
              <w:t>(déplace l’adversaire) ou avec un coup accéléré.</w:t>
            </w:r>
          </w:p>
          <w:p w:rsidR="004920C8" w:rsidRPr="009E7B3B" w:rsidRDefault="005F4F8E">
            <w:pPr>
              <w:pStyle w:val="TableParagraph"/>
              <w:spacing w:line="182" w:lineRule="exact"/>
              <w:ind w:left="109"/>
              <w:rPr>
                <w:sz w:val="16"/>
              </w:rPr>
            </w:pPr>
            <w:r w:rsidRPr="009E7B3B">
              <w:rPr>
                <w:sz w:val="16"/>
              </w:rPr>
              <w:t>Ut</w:t>
            </w:r>
            <w:r w:rsidRPr="009E7B3B">
              <w:rPr>
                <w:sz w:val="16"/>
              </w:rPr>
              <w:t>ilise souvent 1 coup prioritaire efficace.</w:t>
            </w:r>
          </w:p>
          <w:p w:rsidR="004920C8" w:rsidRPr="009E7B3B" w:rsidRDefault="005F4F8E">
            <w:pPr>
              <w:pStyle w:val="TableParagraph"/>
              <w:spacing w:before="1"/>
              <w:ind w:left="109" w:right="490"/>
              <w:rPr>
                <w:sz w:val="16"/>
              </w:rPr>
            </w:pPr>
            <w:r w:rsidRPr="009E7B3B">
              <w:rPr>
                <w:sz w:val="16"/>
              </w:rPr>
              <w:t>Reconnaît et exploite un volant favorable afin de créer la rupture Se replace régulièrement sans attendre vers le centre du terrain.</w:t>
            </w:r>
          </w:p>
        </w:tc>
      </w:tr>
      <w:tr w:rsidR="004920C8">
        <w:trPr>
          <w:trHeight w:val="3165"/>
        </w:trPr>
        <w:tc>
          <w:tcPr>
            <w:tcW w:w="1099" w:type="dxa"/>
          </w:tcPr>
          <w:p w:rsidR="004920C8" w:rsidRPr="009E7B3B" w:rsidRDefault="004920C8">
            <w:pPr>
              <w:pStyle w:val="TableParagraph"/>
              <w:rPr>
                <w:b/>
                <w:sz w:val="18"/>
              </w:rPr>
            </w:pPr>
          </w:p>
          <w:p w:rsidR="004920C8" w:rsidRPr="009E7B3B" w:rsidRDefault="004920C8">
            <w:pPr>
              <w:pStyle w:val="TableParagraph"/>
              <w:rPr>
                <w:b/>
                <w:sz w:val="18"/>
              </w:rPr>
            </w:pPr>
          </w:p>
          <w:p w:rsidR="004920C8" w:rsidRPr="009E7B3B" w:rsidRDefault="004920C8">
            <w:pPr>
              <w:pStyle w:val="TableParagraph"/>
              <w:rPr>
                <w:b/>
                <w:sz w:val="18"/>
              </w:rPr>
            </w:pPr>
          </w:p>
          <w:p w:rsidR="004920C8" w:rsidRPr="009E7B3B" w:rsidRDefault="004920C8">
            <w:pPr>
              <w:pStyle w:val="TableParagraph"/>
              <w:rPr>
                <w:b/>
                <w:sz w:val="18"/>
              </w:rPr>
            </w:pPr>
          </w:p>
          <w:p w:rsidR="004920C8" w:rsidRPr="009E7B3B" w:rsidRDefault="004920C8">
            <w:pPr>
              <w:pStyle w:val="TableParagraph"/>
              <w:rPr>
                <w:b/>
                <w:sz w:val="18"/>
              </w:rPr>
            </w:pPr>
          </w:p>
          <w:p w:rsidR="004920C8" w:rsidRPr="009E7B3B" w:rsidRDefault="004920C8">
            <w:pPr>
              <w:pStyle w:val="TableParagraph"/>
              <w:rPr>
                <w:b/>
                <w:sz w:val="18"/>
              </w:rPr>
            </w:pPr>
          </w:p>
          <w:p w:rsidR="004920C8" w:rsidRPr="009E7B3B" w:rsidRDefault="004920C8">
            <w:pPr>
              <w:pStyle w:val="TableParagraph"/>
              <w:rPr>
                <w:b/>
                <w:sz w:val="21"/>
              </w:rPr>
            </w:pPr>
          </w:p>
          <w:p w:rsidR="004920C8" w:rsidRDefault="005F4F8E">
            <w:pPr>
              <w:pStyle w:val="TableParagraph"/>
              <w:ind w:left="196"/>
              <w:rPr>
                <w:b/>
                <w:sz w:val="16"/>
              </w:rPr>
            </w:pPr>
            <w:r>
              <w:rPr>
                <w:b/>
                <w:sz w:val="16"/>
              </w:rPr>
              <w:t>10 points</w:t>
            </w:r>
          </w:p>
        </w:tc>
        <w:tc>
          <w:tcPr>
            <w:tcW w:w="1704" w:type="dxa"/>
          </w:tcPr>
          <w:p w:rsidR="004920C8" w:rsidRPr="009E7B3B" w:rsidRDefault="004920C8">
            <w:pPr>
              <w:pStyle w:val="TableParagraph"/>
              <w:rPr>
                <w:b/>
                <w:sz w:val="18"/>
              </w:rPr>
            </w:pPr>
          </w:p>
          <w:p w:rsidR="004920C8" w:rsidRPr="009E7B3B" w:rsidRDefault="004920C8">
            <w:pPr>
              <w:pStyle w:val="TableParagraph"/>
              <w:rPr>
                <w:b/>
                <w:sz w:val="18"/>
              </w:rPr>
            </w:pPr>
          </w:p>
          <w:p w:rsidR="004920C8" w:rsidRPr="009E7B3B" w:rsidRDefault="004920C8">
            <w:pPr>
              <w:pStyle w:val="TableParagraph"/>
              <w:rPr>
                <w:b/>
                <w:sz w:val="18"/>
              </w:rPr>
            </w:pPr>
          </w:p>
          <w:p w:rsidR="004920C8" w:rsidRPr="009E7B3B" w:rsidRDefault="004920C8">
            <w:pPr>
              <w:pStyle w:val="TableParagraph"/>
              <w:rPr>
                <w:b/>
                <w:sz w:val="18"/>
              </w:rPr>
            </w:pPr>
          </w:p>
          <w:p w:rsidR="004920C8" w:rsidRPr="009E7B3B" w:rsidRDefault="004920C8">
            <w:pPr>
              <w:pStyle w:val="TableParagraph"/>
              <w:spacing w:before="11"/>
              <w:rPr>
                <w:b/>
                <w:sz w:val="16"/>
              </w:rPr>
            </w:pPr>
          </w:p>
          <w:p w:rsidR="004920C8" w:rsidRPr="009E7B3B" w:rsidRDefault="005F4F8E">
            <w:pPr>
              <w:pStyle w:val="TableParagraph"/>
              <w:ind w:left="204" w:right="279"/>
              <w:jc w:val="center"/>
              <w:rPr>
                <w:b/>
                <w:sz w:val="16"/>
              </w:rPr>
            </w:pPr>
            <w:r w:rsidRPr="009E7B3B">
              <w:rPr>
                <w:b/>
                <w:sz w:val="16"/>
              </w:rPr>
              <w:t>Mises en œuvre tactiques et indicateurs techniques</w:t>
            </w:r>
          </w:p>
          <w:p w:rsidR="004920C8" w:rsidRPr="009E7B3B" w:rsidRDefault="004920C8">
            <w:pPr>
              <w:pStyle w:val="TableParagraph"/>
              <w:spacing w:before="1"/>
              <w:rPr>
                <w:b/>
                <w:sz w:val="16"/>
              </w:rPr>
            </w:pPr>
          </w:p>
          <w:p w:rsidR="004920C8" w:rsidRDefault="005F4F8E">
            <w:pPr>
              <w:pStyle w:val="TableParagraph"/>
              <w:ind w:left="204" w:right="279"/>
              <w:jc w:val="center"/>
              <w:rPr>
                <w:b/>
                <w:sz w:val="16"/>
              </w:rPr>
            </w:pPr>
            <w:r>
              <w:rPr>
                <w:b/>
                <w:sz w:val="16"/>
              </w:rPr>
              <w:t>/ 8 points</w:t>
            </w:r>
          </w:p>
        </w:tc>
        <w:tc>
          <w:tcPr>
            <w:tcW w:w="4157" w:type="dxa"/>
          </w:tcPr>
          <w:p w:rsidR="004920C8" w:rsidRDefault="005F4F8E">
            <w:pPr>
              <w:pStyle w:val="TableParagraph"/>
              <w:spacing w:line="178" w:lineRule="exact"/>
              <w:ind w:left="1531"/>
              <w:rPr>
                <w:b/>
                <w:sz w:val="16"/>
              </w:rPr>
            </w:pPr>
            <w:r>
              <w:rPr>
                <w:b/>
                <w:sz w:val="16"/>
              </w:rPr>
              <w:t>de 0 à 3,75 pts</w:t>
            </w:r>
          </w:p>
          <w:p w:rsidR="004920C8" w:rsidRPr="009E7B3B" w:rsidRDefault="005F4F8E">
            <w:pPr>
              <w:pStyle w:val="TableParagraph"/>
              <w:numPr>
                <w:ilvl w:val="0"/>
                <w:numId w:val="1"/>
              </w:numPr>
              <w:tabs>
                <w:tab w:val="left" w:pos="313"/>
              </w:tabs>
              <w:spacing w:before="3"/>
              <w:ind w:right="93" w:firstLine="0"/>
              <w:jc w:val="both"/>
              <w:rPr>
                <w:sz w:val="16"/>
              </w:rPr>
            </w:pPr>
            <w:r w:rsidRPr="009E7B3B">
              <w:rPr>
                <w:sz w:val="16"/>
              </w:rPr>
              <w:t>Le renvoi n’est pas stabilisé et les trajectoires sont aléatoires / nombre important de fautes directes y compris sans</w:t>
            </w:r>
            <w:r w:rsidRPr="009E7B3B">
              <w:rPr>
                <w:spacing w:val="-3"/>
                <w:sz w:val="16"/>
              </w:rPr>
              <w:t xml:space="preserve"> </w:t>
            </w:r>
            <w:r w:rsidRPr="009E7B3B">
              <w:rPr>
                <w:sz w:val="16"/>
              </w:rPr>
              <w:t>déplacement.</w:t>
            </w:r>
          </w:p>
          <w:p w:rsidR="004920C8" w:rsidRPr="009E7B3B" w:rsidRDefault="005F4F8E">
            <w:pPr>
              <w:pStyle w:val="TableParagraph"/>
              <w:numPr>
                <w:ilvl w:val="0"/>
                <w:numId w:val="1"/>
              </w:numPr>
              <w:tabs>
                <w:tab w:val="left" w:pos="332"/>
              </w:tabs>
              <w:ind w:right="95" w:firstLine="0"/>
              <w:jc w:val="both"/>
              <w:rPr>
                <w:sz w:val="16"/>
              </w:rPr>
            </w:pPr>
            <w:r w:rsidRPr="009E7B3B">
              <w:rPr>
                <w:sz w:val="16"/>
              </w:rPr>
              <w:t>Renvoi stabilisé dans la 1</w:t>
            </w:r>
            <w:r w:rsidRPr="009E7B3B">
              <w:rPr>
                <w:sz w:val="16"/>
                <w:vertAlign w:val="superscript"/>
              </w:rPr>
              <w:t>re</w:t>
            </w:r>
            <w:r w:rsidRPr="009E7B3B">
              <w:rPr>
                <w:sz w:val="16"/>
              </w:rPr>
              <w:t xml:space="preserve"> moitié du court mais </w:t>
            </w:r>
            <w:r w:rsidRPr="009E7B3B">
              <w:rPr>
                <w:b/>
                <w:sz w:val="16"/>
              </w:rPr>
              <w:t>beaucoup de fautes directes après un déplacemen</w:t>
            </w:r>
            <w:r w:rsidRPr="009E7B3B">
              <w:rPr>
                <w:b/>
                <w:sz w:val="16"/>
              </w:rPr>
              <w:t xml:space="preserve">t. </w:t>
            </w:r>
            <w:r w:rsidRPr="009E7B3B">
              <w:rPr>
                <w:sz w:val="16"/>
              </w:rPr>
              <w:t>Les trajectoires sont plutôt lentes, montantes hautes et peu profondes dans l’axe central le plus souvent. Frappes de face le plus souvent (pas ou peu de dissociations). Juxtaposition des actions de déplacement-frappe-replacement. Se déplace mais frappe</w:t>
            </w:r>
            <w:r w:rsidRPr="009E7B3B">
              <w:rPr>
                <w:sz w:val="16"/>
              </w:rPr>
              <w:t xml:space="preserve"> en</w:t>
            </w:r>
            <w:r w:rsidRPr="009E7B3B">
              <w:rPr>
                <w:spacing w:val="-1"/>
                <w:sz w:val="16"/>
              </w:rPr>
              <w:t xml:space="preserve"> </w:t>
            </w:r>
            <w:r w:rsidRPr="009E7B3B">
              <w:rPr>
                <w:sz w:val="16"/>
              </w:rPr>
              <w:t>déséquilibre</w:t>
            </w:r>
          </w:p>
          <w:p w:rsidR="004920C8" w:rsidRPr="009E7B3B" w:rsidRDefault="005F4F8E">
            <w:pPr>
              <w:pStyle w:val="TableParagraph"/>
              <w:spacing w:before="5"/>
              <w:ind w:left="110"/>
              <w:jc w:val="both"/>
              <w:rPr>
                <w:sz w:val="16"/>
              </w:rPr>
            </w:pPr>
            <w:r w:rsidRPr="009E7B3B">
              <w:rPr>
                <w:sz w:val="16"/>
              </w:rPr>
              <w:t>La prise de raquette est inadaptée.</w:t>
            </w:r>
          </w:p>
        </w:tc>
        <w:tc>
          <w:tcPr>
            <w:tcW w:w="3823" w:type="dxa"/>
          </w:tcPr>
          <w:p w:rsidR="004920C8" w:rsidRDefault="005F4F8E">
            <w:pPr>
              <w:pStyle w:val="TableParagraph"/>
              <w:spacing w:line="178" w:lineRule="exact"/>
              <w:ind w:left="1476"/>
              <w:rPr>
                <w:b/>
                <w:sz w:val="16"/>
              </w:rPr>
            </w:pPr>
            <w:r>
              <w:rPr>
                <w:b/>
                <w:sz w:val="16"/>
              </w:rPr>
              <w:t>de 4 à 6 pts</w:t>
            </w:r>
          </w:p>
          <w:p w:rsidR="004920C8" w:rsidRDefault="005F4F8E">
            <w:pPr>
              <w:pStyle w:val="TableParagraph"/>
              <w:spacing w:before="1"/>
              <w:ind w:left="108" w:right="91"/>
              <w:jc w:val="both"/>
              <w:rPr>
                <w:sz w:val="16"/>
              </w:rPr>
            </w:pPr>
            <w:r>
              <w:rPr>
                <w:sz w:val="16"/>
              </w:rPr>
              <w:t xml:space="preserve">Sur un volant haut en zone avant, </w:t>
            </w:r>
            <w:r>
              <w:rPr>
                <w:b/>
                <w:sz w:val="16"/>
              </w:rPr>
              <w:t xml:space="preserve">produit des frappes de rupture descendantes </w:t>
            </w:r>
            <w:r>
              <w:rPr>
                <w:sz w:val="16"/>
              </w:rPr>
              <w:t xml:space="preserve">(attaque au filet) </w:t>
            </w:r>
            <w:r>
              <w:rPr>
                <w:b/>
                <w:sz w:val="16"/>
              </w:rPr>
              <w:t xml:space="preserve">ou éloignées de l’adversaire </w:t>
            </w:r>
            <w:r>
              <w:rPr>
                <w:sz w:val="16"/>
              </w:rPr>
              <w:t>sur la profondeur ou la largeur (contre amorti, lob, block, amorti)</w:t>
            </w:r>
          </w:p>
          <w:p w:rsidR="004920C8" w:rsidRDefault="005F4F8E">
            <w:pPr>
              <w:pStyle w:val="TableParagraph"/>
              <w:tabs>
                <w:tab w:val="left" w:pos="1255"/>
                <w:tab w:val="left" w:pos="1570"/>
                <w:tab w:val="left" w:pos="2305"/>
                <w:tab w:val="left" w:pos="3413"/>
              </w:tabs>
              <w:spacing w:before="1"/>
              <w:ind w:left="108" w:right="92"/>
              <w:rPr>
                <w:sz w:val="16"/>
              </w:rPr>
            </w:pPr>
            <w:r>
              <w:rPr>
                <w:sz w:val="16"/>
              </w:rPr>
              <w:t xml:space="preserve">Les frappes sont peu précises sur l’ensemble des paramètres : hauteur, longueur, direction, vitesse </w:t>
            </w:r>
            <w:r>
              <w:rPr>
                <w:b/>
                <w:sz w:val="16"/>
              </w:rPr>
              <w:t xml:space="preserve">Déplacements limités et/ou désorganisés </w:t>
            </w:r>
            <w:r>
              <w:rPr>
                <w:sz w:val="16"/>
              </w:rPr>
              <w:t>qui perturbent les actions de frappe. Les action</w:t>
            </w:r>
            <w:r>
              <w:rPr>
                <w:sz w:val="16"/>
              </w:rPr>
              <w:t>s de déplacement</w:t>
            </w:r>
            <w:r>
              <w:rPr>
                <w:sz w:val="16"/>
              </w:rPr>
              <w:tab/>
              <w:t>–</w:t>
            </w:r>
            <w:r>
              <w:rPr>
                <w:sz w:val="16"/>
              </w:rPr>
              <w:tab/>
              <w:t>frappe-</w:t>
            </w:r>
            <w:r>
              <w:rPr>
                <w:sz w:val="16"/>
              </w:rPr>
              <w:tab/>
              <w:t>replacement</w:t>
            </w:r>
            <w:r>
              <w:rPr>
                <w:sz w:val="16"/>
              </w:rPr>
              <w:tab/>
              <w:t>sont juxtaposées.</w:t>
            </w:r>
          </w:p>
          <w:p w:rsidR="004920C8" w:rsidRDefault="005F4F8E">
            <w:pPr>
              <w:pStyle w:val="TableParagraph"/>
              <w:ind w:left="108" w:right="92"/>
              <w:jc w:val="both"/>
              <w:rPr>
                <w:sz w:val="16"/>
              </w:rPr>
            </w:pPr>
            <w:r>
              <w:rPr>
                <w:sz w:val="16"/>
              </w:rPr>
              <w:t xml:space="preserve">Le candidat </w:t>
            </w:r>
            <w:r>
              <w:rPr>
                <w:b/>
                <w:sz w:val="16"/>
              </w:rPr>
              <w:t xml:space="preserve">joue de face </w:t>
            </w:r>
            <w:r>
              <w:rPr>
                <w:sz w:val="16"/>
              </w:rPr>
              <w:t>le plus souvent (en frappe haute), il joue rarement bien placé (en fente au filet et avec une préparation de profil en frappe haute).</w:t>
            </w:r>
          </w:p>
          <w:p w:rsidR="004920C8" w:rsidRDefault="005F4F8E">
            <w:pPr>
              <w:pStyle w:val="TableParagraph"/>
              <w:spacing w:before="1" w:line="182" w:lineRule="exact"/>
              <w:ind w:left="108"/>
              <w:jc w:val="both"/>
              <w:rPr>
                <w:sz w:val="16"/>
              </w:rPr>
            </w:pPr>
            <w:r>
              <w:rPr>
                <w:sz w:val="16"/>
              </w:rPr>
              <w:t>La prise de raquette est inadaptée.</w:t>
            </w:r>
          </w:p>
        </w:tc>
        <w:tc>
          <w:tcPr>
            <w:tcW w:w="5201" w:type="dxa"/>
          </w:tcPr>
          <w:p w:rsidR="004920C8" w:rsidRDefault="005F4F8E">
            <w:pPr>
              <w:pStyle w:val="TableParagraph"/>
              <w:spacing w:line="178" w:lineRule="exact"/>
              <w:ind w:left="2099"/>
              <w:rPr>
                <w:b/>
                <w:sz w:val="16"/>
              </w:rPr>
            </w:pPr>
            <w:r>
              <w:rPr>
                <w:b/>
                <w:sz w:val="16"/>
              </w:rPr>
              <w:t>de 6</w:t>
            </w:r>
            <w:r>
              <w:rPr>
                <w:b/>
                <w:sz w:val="16"/>
              </w:rPr>
              <w:t>,5 à 8 pts</w:t>
            </w:r>
          </w:p>
          <w:p w:rsidR="004920C8" w:rsidRDefault="005F4F8E">
            <w:pPr>
              <w:pStyle w:val="TableParagraph"/>
              <w:spacing w:before="1"/>
              <w:ind w:left="109" w:right="92"/>
              <w:jc w:val="both"/>
              <w:rPr>
                <w:sz w:val="16"/>
              </w:rPr>
            </w:pPr>
            <w:r>
              <w:rPr>
                <w:sz w:val="16"/>
              </w:rPr>
              <w:t>Sur des volants hauts dans la 1</w:t>
            </w:r>
            <w:r>
              <w:rPr>
                <w:sz w:val="16"/>
                <w:vertAlign w:val="superscript"/>
              </w:rPr>
              <w:t>ère</w:t>
            </w:r>
            <w:r>
              <w:rPr>
                <w:sz w:val="16"/>
              </w:rPr>
              <w:t xml:space="preserve"> moitié du court, </w:t>
            </w:r>
            <w:r>
              <w:rPr>
                <w:b/>
                <w:sz w:val="16"/>
              </w:rPr>
              <w:t xml:space="preserve">produit des frappes de rupture descendantes </w:t>
            </w:r>
            <w:r>
              <w:rPr>
                <w:sz w:val="16"/>
              </w:rPr>
              <w:t xml:space="preserve">(attaque au filet, smash) </w:t>
            </w:r>
            <w:r>
              <w:rPr>
                <w:b/>
                <w:sz w:val="16"/>
              </w:rPr>
              <w:t xml:space="preserve">ou éloignées de l’adversaire </w:t>
            </w:r>
            <w:r>
              <w:rPr>
                <w:sz w:val="16"/>
              </w:rPr>
              <w:t>sur la profondeur ou la largeur (contre amorti, lob, block, amorti). Le smash à mi-court devie</w:t>
            </w:r>
            <w:r>
              <w:rPr>
                <w:sz w:val="16"/>
              </w:rPr>
              <w:t>nt un atout dans le jeu.</w:t>
            </w:r>
          </w:p>
          <w:p w:rsidR="004920C8" w:rsidRDefault="005F4F8E">
            <w:pPr>
              <w:pStyle w:val="TableParagraph"/>
              <w:ind w:left="167" w:right="151" w:firstLine="45"/>
              <w:jc w:val="both"/>
              <w:rPr>
                <w:sz w:val="16"/>
              </w:rPr>
            </w:pPr>
            <w:r>
              <w:rPr>
                <w:b/>
                <w:sz w:val="16"/>
              </w:rPr>
              <w:t xml:space="preserve">Déplacements vers le volant et placements sous le volant souvent coordonnés, synchronisés et adaptés </w:t>
            </w:r>
            <w:r>
              <w:rPr>
                <w:sz w:val="16"/>
              </w:rPr>
              <w:t>dans les phases de moindre pression. Le candidat se déplace en pas chassés (ou courus) et joue en équilibre.</w:t>
            </w:r>
          </w:p>
          <w:p w:rsidR="004920C8" w:rsidRDefault="005F4F8E">
            <w:pPr>
              <w:pStyle w:val="TableParagraph"/>
              <w:spacing w:line="242" w:lineRule="auto"/>
              <w:ind w:left="167" w:right="150"/>
              <w:jc w:val="both"/>
              <w:rPr>
                <w:sz w:val="16"/>
              </w:rPr>
            </w:pPr>
            <w:r>
              <w:rPr>
                <w:b/>
                <w:sz w:val="16"/>
              </w:rPr>
              <w:t xml:space="preserve">Le candidat sort du jeu de face </w:t>
            </w:r>
            <w:r>
              <w:rPr>
                <w:sz w:val="16"/>
              </w:rPr>
              <w:t>: placement de profil en frappe haute à mi- court ou en fond de court et placement à l’amble en fente avant pour les frappes au</w:t>
            </w:r>
            <w:r>
              <w:rPr>
                <w:spacing w:val="-6"/>
                <w:sz w:val="16"/>
              </w:rPr>
              <w:t xml:space="preserve"> </w:t>
            </w:r>
            <w:r>
              <w:rPr>
                <w:sz w:val="16"/>
              </w:rPr>
              <w:t>filet.</w:t>
            </w:r>
          </w:p>
          <w:p w:rsidR="004920C8" w:rsidRDefault="005F4F8E">
            <w:pPr>
              <w:pStyle w:val="TableParagraph"/>
              <w:spacing w:before="2" w:line="179" w:lineRule="exact"/>
              <w:ind w:left="167"/>
              <w:jc w:val="both"/>
              <w:rPr>
                <w:sz w:val="16"/>
              </w:rPr>
            </w:pPr>
            <w:r>
              <w:rPr>
                <w:b/>
                <w:sz w:val="16"/>
              </w:rPr>
              <w:t xml:space="preserve">La prise de raquette est parfois adaptée </w:t>
            </w:r>
            <w:r>
              <w:rPr>
                <w:sz w:val="16"/>
              </w:rPr>
              <w:t>(prise universelle)</w:t>
            </w:r>
          </w:p>
        </w:tc>
      </w:tr>
    </w:tbl>
    <w:p w:rsidR="004920C8" w:rsidRDefault="004920C8">
      <w:pPr>
        <w:spacing w:line="179" w:lineRule="exact"/>
        <w:jc w:val="both"/>
        <w:rPr>
          <w:sz w:val="16"/>
        </w:rPr>
        <w:sectPr w:rsidR="004920C8">
          <w:headerReference w:type="default" r:id="rId7"/>
          <w:footerReference w:type="default" r:id="rId8"/>
          <w:type w:val="continuous"/>
          <w:pgSz w:w="16840" w:h="11910" w:orient="landscape"/>
          <w:pgMar w:top="1400" w:right="320" w:bottom="920" w:left="300" w:header="170" w:footer="732" w:gutter="0"/>
          <w:cols w:space="720"/>
        </w:sectPr>
      </w:pPr>
    </w:p>
    <w:p w:rsidR="004920C8" w:rsidRDefault="004920C8">
      <w:pPr>
        <w:pStyle w:val="Corpsdetexte"/>
        <w:rPr>
          <w:rFonts w:ascii="Times New Roman"/>
        </w:rPr>
      </w:pPr>
    </w:p>
    <w:p w:rsidR="004920C8" w:rsidRDefault="004920C8">
      <w:pPr>
        <w:pStyle w:val="Corpsdetexte"/>
        <w:spacing w:before="8"/>
        <w:rPr>
          <w:rFonts w:ascii="Times New Roman"/>
          <w:sz w:val="21"/>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
        <w:gridCol w:w="1704"/>
        <w:gridCol w:w="1970"/>
        <w:gridCol w:w="2187"/>
        <w:gridCol w:w="3824"/>
        <w:gridCol w:w="5202"/>
      </w:tblGrid>
      <w:tr w:rsidR="004920C8">
        <w:trPr>
          <w:trHeight w:val="1521"/>
        </w:trPr>
        <w:tc>
          <w:tcPr>
            <w:tcW w:w="1099" w:type="dxa"/>
          </w:tcPr>
          <w:p w:rsidR="004920C8" w:rsidRDefault="004920C8">
            <w:pPr>
              <w:pStyle w:val="TableParagraph"/>
              <w:rPr>
                <w:rFonts w:ascii="Times New Roman"/>
                <w:sz w:val="16"/>
              </w:rPr>
            </w:pPr>
          </w:p>
        </w:tc>
        <w:tc>
          <w:tcPr>
            <w:tcW w:w="1704" w:type="dxa"/>
          </w:tcPr>
          <w:p w:rsidR="004920C8" w:rsidRDefault="004920C8">
            <w:pPr>
              <w:pStyle w:val="TableParagraph"/>
              <w:rPr>
                <w:rFonts w:ascii="Times New Roman"/>
                <w:sz w:val="18"/>
              </w:rPr>
            </w:pPr>
          </w:p>
          <w:p w:rsidR="004920C8" w:rsidRDefault="004920C8">
            <w:pPr>
              <w:pStyle w:val="TableParagraph"/>
              <w:rPr>
                <w:rFonts w:ascii="Times New Roman"/>
                <w:sz w:val="18"/>
              </w:rPr>
            </w:pPr>
          </w:p>
          <w:p w:rsidR="004920C8" w:rsidRDefault="005F4F8E">
            <w:pPr>
              <w:pStyle w:val="TableParagraph"/>
              <w:spacing w:before="155"/>
              <w:ind w:left="451"/>
              <w:rPr>
                <w:b/>
                <w:sz w:val="16"/>
              </w:rPr>
            </w:pPr>
            <w:r>
              <w:rPr>
                <w:b/>
                <w:sz w:val="16"/>
              </w:rPr>
              <w:t>Arbitrage</w:t>
            </w:r>
          </w:p>
          <w:p w:rsidR="004920C8" w:rsidRDefault="005F4F8E">
            <w:pPr>
              <w:pStyle w:val="TableParagraph"/>
              <w:ind w:left="456"/>
              <w:rPr>
                <w:b/>
                <w:sz w:val="16"/>
              </w:rPr>
            </w:pPr>
            <w:r>
              <w:rPr>
                <w:b/>
                <w:sz w:val="16"/>
              </w:rPr>
              <w:t>/ 2 points</w:t>
            </w:r>
          </w:p>
        </w:tc>
        <w:tc>
          <w:tcPr>
            <w:tcW w:w="4157" w:type="dxa"/>
            <w:gridSpan w:val="2"/>
          </w:tcPr>
          <w:p w:rsidR="004920C8" w:rsidRDefault="005F4F8E">
            <w:pPr>
              <w:pStyle w:val="TableParagraph"/>
              <w:spacing w:line="178" w:lineRule="exact"/>
              <w:ind w:left="1891"/>
              <w:rPr>
                <w:b/>
                <w:sz w:val="16"/>
              </w:rPr>
            </w:pPr>
            <w:r>
              <w:rPr>
                <w:b/>
                <w:sz w:val="16"/>
              </w:rPr>
              <w:t>0,5pt</w:t>
            </w:r>
          </w:p>
          <w:p w:rsidR="004920C8" w:rsidRDefault="005F4F8E">
            <w:pPr>
              <w:pStyle w:val="TableParagraph"/>
              <w:spacing w:before="3"/>
              <w:ind w:left="168" w:right="250"/>
              <w:rPr>
                <w:sz w:val="16"/>
              </w:rPr>
            </w:pPr>
            <w:r>
              <w:rPr>
                <w:sz w:val="16"/>
              </w:rPr>
              <w:t>Le candidat est passif et fait des erreurs sur l’évolution du</w:t>
            </w:r>
            <w:r>
              <w:rPr>
                <w:spacing w:val="-3"/>
                <w:sz w:val="16"/>
              </w:rPr>
              <w:t xml:space="preserve"> </w:t>
            </w:r>
            <w:r>
              <w:rPr>
                <w:sz w:val="16"/>
              </w:rPr>
              <w:t>score.</w:t>
            </w:r>
          </w:p>
          <w:p w:rsidR="004920C8" w:rsidRDefault="005F4F8E">
            <w:pPr>
              <w:pStyle w:val="TableParagraph"/>
              <w:ind w:left="168" w:right="659"/>
              <w:rPr>
                <w:sz w:val="16"/>
              </w:rPr>
            </w:pPr>
            <w:r>
              <w:rPr>
                <w:sz w:val="16"/>
              </w:rPr>
              <w:t>Le candidat connait partiellement les règles de l’activité.</w:t>
            </w:r>
          </w:p>
        </w:tc>
        <w:tc>
          <w:tcPr>
            <w:tcW w:w="3824" w:type="dxa"/>
          </w:tcPr>
          <w:p w:rsidR="004920C8" w:rsidRDefault="005F4F8E">
            <w:pPr>
              <w:pStyle w:val="TableParagraph"/>
              <w:spacing w:line="178" w:lineRule="exact"/>
              <w:ind w:left="108"/>
              <w:rPr>
                <w:b/>
                <w:sz w:val="16"/>
              </w:rPr>
            </w:pPr>
            <w:r>
              <w:rPr>
                <w:b/>
                <w:sz w:val="16"/>
              </w:rPr>
              <w:t>de 1 à 1,5pt</w:t>
            </w:r>
          </w:p>
          <w:p w:rsidR="004920C8" w:rsidRDefault="005F4F8E">
            <w:pPr>
              <w:pStyle w:val="TableParagraph"/>
              <w:spacing w:before="3"/>
              <w:ind w:left="166" w:right="153"/>
              <w:jc w:val="both"/>
              <w:rPr>
                <w:sz w:val="16"/>
              </w:rPr>
            </w:pPr>
            <w:r>
              <w:rPr>
                <w:sz w:val="16"/>
              </w:rPr>
              <w:t xml:space="preserve">Le candidat suit précisément le déroulement du match et du score. L’annonce du score n’est cependant pas systématique. Les règles du badminton sont connues mais pas toujours appliquées. Il laisse les joueurs prendre certaines décisions à sa place (volants </w:t>
            </w:r>
            <w:r>
              <w:rPr>
                <w:sz w:val="16"/>
              </w:rPr>
              <w:t>litigieux, etc.)</w:t>
            </w:r>
          </w:p>
        </w:tc>
        <w:tc>
          <w:tcPr>
            <w:tcW w:w="5202" w:type="dxa"/>
          </w:tcPr>
          <w:p w:rsidR="004920C8" w:rsidRDefault="005F4F8E">
            <w:pPr>
              <w:pStyle w:val="TableParagraph"/>
              <w:spacing w:line="178" w:lineRule="exact"/>
              <w:ind w:left="2413"/>
              <w:rPr>
                <w:b/>
                <w:sz w:val="16"/>
              </w:rPr>
            </w:pPr>
            <w:r>
              <w:rPr>
                <w:b/>
                <w:sz w:val="16"/>
              </w:rPr>
              <w:t>2 pts</w:t>
            </w:r>
          </w:p>
          <w:p w:rsidR="004920C8" w:rsidRDefault="004920C8">
            <w:pPr>
              <w:pStyle w:val="TableParagraph"/>
              <w:spacing w:before="1"/>
              <w:rPr>
                <w:rFonts w:ascii="Times New Roman"/>
                <w:sz w:val="16"/>
              </w:rPr>
            </w:pPr>
          </w:p>
          <w:p w:rsidR="004920C8" w:rsidRDefault="005F4F8E">
            <w:pPr>
              <w:pStyle w:val="TableParagraph"/>
              <w:ind w:left="166"/>
              <w:rPr>
                <w:sz w:val="16"/>
              </w:rPr>
            </w:pPr>
            <w:r>
              <w:rPr>
                <w:sz w:val="16"/>
              </w:rPr>
              <w:t>Le candidat fait le tirage au sort, annonce le score à haute voix en donnant en premier le score du serveur.</w:t>
            </w:r>
          </w:p>
          <w:p w:rsidR="004920C8" w:rsidRDefault="005F4F8E">
            <w:pPr>
              <w:pStyle w:val="TableParagraph"/>
              <w:ind w:left="166"/>
              <w:rPr>
                <w:sz w:val="16"/>
              </w:rPr>
            </w:pPr>
            <w:r>
              <w:rPr>
                <w:sz w:val="16"/>
              </w:rPr>
              <w:t>Il connait et fait respecter les règles de l’activité.</w:t>
            </w:r>
          </w:p>
        </w:tc>
      </w:tr>
      <w:tr w:rsidR="004920C8">
        <w:trPr>
          <w:trHeight w:val="568"/>
        </w:trPr>
        <w:tc>
          <w:tcPr>
            <w:tcW w:w="1099" w:type="dxa"/>
            <w:vMerge w:val="restart"/>
          </w:tcPr>
          <w:p w:rsidR="004920C8" w:rsidRDefault="004920C8">
            <w:pPr>
              <w:pStyle w:val="TableParagraph"/>
              <w:rPr>
                <w:rFonts w:ascii="Times New Roman"/>
                <w:sz w:val="18"/>
              </w:rPr>
            </w:pPr>
          </w:p>
          <w:p w:rsidR="004920C8" w:rsidRDefault="004920C8">
            <w:pPr>
              <w:pStyle w:val="TableParagraph"/>
              <w:rPr>
                <w:rFonts w:ascii="Times New Roman"/>
                <w:sz w:val="18"/>
              </w:rPr>
            </w:pPr>
          </w:p>
          <w:p w:rsidR="004920C8" w:rsidRDefault="004920C8">
            <w:pPr>
              <w:pStyle w:val="TableParagraph"/>
              <w:spacing w:before="8"/>
              <w:rPr>
                <w:rFonts w:ascii="Times New Roman"/>
                <w:sz w:val="16"/>
              </w:rPr>
            </w:pPr>
          </w:p>
          <w:p w:rsidR="004920C8" w:rsidRDefault="005F4F8E">
            <w:pPr>
              <w:pStyle w:val="TableParagraph"/>
              <w:ind w:left="242"/>
              <w:rPr>
                <w:b/>
                <w:sz w:val="16"/>
              </w:rPr>
            </w:pPr>
            <w:r>
              <w:rPr>
                <w:b/>
                <w:sz w:val="16"/>
              </w:rPr>
              <w:t>5 points</w:t>
            </w:r>
          </w:p>
        </w:tc>
        <w:tc>
          <w:tcPr>
            <w:tcW w:w="1704" w:type="dxa"/>
            <w:vMerge w:val="restart"/>
          </w:tcPr>
          <w:p w:rsidR="004920C8" w:rsidRDefault="004920C8">
            <w:pPr>
              <w:pStyle w:val="TableParagraph"/>
              <w:rPr>
                <w:rFonts w:ascii="Times New Roman"/>
                <w:sz w:val="18"/>
              </w:rPr>
            </w:pPr>
          </w:p>
          <w:p w:rsidR="004920C8" w:rsidRDefault="004920C8">
            <w:pPr>
              <w:pStyle w:val="TableParagraph"/>
              <w:spacing w:before="9"/>
              <w:rPr>
                <w:rFonts w:ascii="Times New Roman"/>
                <w:sz w:val="26"/>
              </w:rPr>
            </w:pPr>
          </w:p>
          <w:p w:rsidR="004920C8" w:rsidRDefault="005F4F8E">
            <w:pPr>
              <w:pStyle w:val="TableParagraph"/>
              <w:ind w:left="394" w:right="453" w:firstLine="74"/>
              <w:rPr>
                <w:b/>
                <w:sz w:val="16"/>
              </w:rPr>
            </w:pPr>
            <w:r>
              <w:rPr>
                <w:b/>
                <w:sz w:val="16"/>
              </w:rPr>
              <w:t>Gain des rencontres</w:t>
            </w:r>
          </w:p>
        </w:tc>
        <w:tc>
          <w:tcPr>
            <w:tcW w:w="1970" w:type="dxa"/>
            <w:vMerge w:val="restart"/>
          </w:tcPr>
          <w:p w:rsidR="004920C8" w:rsidRDefault="004920C8">
            <w:pPr>
              <w:pStyle w:val="TableParagraph"/>
              <w:rPr>
                <w:rFonts w:ascii="Times New Roman"/>
                <w:sz w:val="18"/>
              </w:rPr>
            </w:pPr>
          </w:p>
          <w:p w:rsidR="004920C8" w:rsidRDefault="005F4F8E">
            <w:pPr>
              <w:pStyle w:val="TableParagraph"/>
              <w:spacing w:before="121"/>
              <w:ind w:left="600" w:right="105" w:hanging="464"/>
              <w:rPr>
                <w:sz w:val="16"/>
              </w:rPr>
            </w:pPr>
            <w:r>
              <w:rPr>
                <w:sz w:val="16"/>
              </w:rPr>
              <w:t>Classement général par sexe: 3 pts</w:t>
            </w:r>
          </w:p>
        </w:tc>
        <w:tc>
          <w:tcPr>
            <w:tcW w:w="2187" w:type="dxa"/>
          </w:tcPr>
          <w:p w:rsidR="004920C8" w:rsidRDefault="005F4F8E">
            <w:pPr>
              <w:pStyle w:val="TableParagraph"/>
              <w:spacing w:line="178" w:lineRule="exact"/>
              <w:ind w:left="108"/>
              <w:rPr>
                <w:b/>
                <w:sz w:val="16"/>
              </w:rPr>
            </w:pPr>
            <w:r>
              <w:rPr>
                <w:b/>
                <w:sz w:val="16"/>
              </w:rPr>
              <w:t>de 0 à 1pt</w:t>
            </w:r>
          </w:p>
          <w:p w:rsidR="004920C8" w:rsidRDefault="005F4F8E">
            <w:pPr>
              <w:pStyle w:val="TableParagraph"/>
              <w:spacing w:before="1"/>
              <w:ind w:left="108" w:right="181"/>
              <w:rPr>
                <w:sz w:val="16"/>
              </w:rPr>
            </w:pPr>
            <w:r>
              <w:rPr>
                <w:sz w:val="16"/>
              </w:rPr>
              <w:t>Les élèves classés en bas du tableau</w:t>
            </w:r>
          </w:p>
        </w:tc>
        <w:tc>
          <w:tcPr>
            <w:tcW w:w="3824" w:type="dxa"/>
          </w:tcPr>
          <w:p w:rsidR="004920C8" w:rsidRDefault="005F4F8E">
            <w:pPr>
              <w:pStyle w:val="TableParagraph"/>
              <w:spacing w:line="178" w:lineRule="exact"/>
              <w:ind w:left="108"/>
              <w:rPr>
                <w:b/>
                <w:sz w:val="16"/>
              </w:rPr>
            </w:pPr>
            <w:r>
              <w:rPr>
                <w:b/>
                <w:sz w:val="16"/>
              </w:rPr>
              <w:t>de 1.25 pt à 2 pts</w:t>
            </w:r>
          </w:p>
          <w:p w:rsidR="004920C8" w:rsidRDefault="005F4F8E">
            <w:pPr>
              <w:pStyle w:val="TableParagraph"/>
              <w:spacing w:before="1"/>
              <w:ind w:left="108" w:right="61"/>
              <w:rPr>
                <w:sz w:val="16"/>
              </w:rPr>
            </w:pPr>
            <w:r>
              <w:rPr>
                <w:sz w:val="16"/>
              </w:rPr>
              <w:t>Les élèves classés en milieu du tableau des filles ou du tableau des garçons</w:t>
            </w:r>
          </w:p>
        </w:tc>
        <w:tc>
          <w:tcPr>
            <w:tcW w:w="5202" w:type="dxa"/>
          </w:tcPr>
          <w:p w:rsidR="004920C8" w:rsidRDefault="005F4F8E">
            <w:pPr>
              <w:pStyle w:val="TableParagraph"/>
              <w:spacing w:line="178" w:lineRule="exact"/>
              <w:ind w:left="108"/>
              <w:rPr>
                <w:b/>
                <w:sz w:val="16"/>
              </w:rPr>
            </w:pPr>
            <w:r>
              <w:rPr>
                <w:b/>
                <w:sz w:val="16"/>
              </w:rPr>
              <w:t>de 2.25 pts à 3 pts</w:t>
            </w:r>
          </w:p>
          <w:p w:rsidR="004920C8" w:rsidRDefault="005F4F8E">
            <w:pPr>
              <w:pStyle w:val="TableParagraph"/>
              <w:spacing w:before="1"/>
              <w:ind w:left="108"/>
              <w:rPr>
                <w:sz w:val="16"/>
              </w:rPr>
            </w:pPr>
            <w:r>
              <w:rPr>
                <w:sz w:val="16"/>
              </w:rPr>
              <w:t>Les élèves classés en haut du tableau des filles ou du ta</w:t>
            </w:r>
            <w:r>
              <w:rPr>
                <w:sz w:val="16"/>
              </w:rPr>
              <w:t>bleau des garçons</w:t>
            </w:r>
          </w:p>
        </w:tc>
      </w:tr>
      <w:tr w:rsidR="004920C8">
        <w:trPr>
          <w:trHeight w:val="453"/>
        </w:trPr>
        <w:tc>
          <w:tcPr>
            <w:tcW w:w="1099" w:type="dxa"/>
            <w:vMerge/>
            <w:tcBorders>
              <w:top w:val="nil"/>
            </w:tcBorders>
          </w:tcPr>
          <w:p w:rsidR="004920C8" w:rsidRDefault="004920C8">
            <w:pPr>
              <w:rPr>
                <w:sz w:val="2"/>
                <w:szCs w:val="2"/>
              </w:rPr>
            </w:pPr>
          </w:p>
        </w:tc>
        <w:tc>
          <w:tcPr>
            <w:tcW w:w="1704" w:type="dxa"/>
            <w:vMerge/>
            <w:tcBorders>
              <w:top w:val="nil"/>
            </w:tcBorders>
          </w:tcPr>
          <w:p w:rsidR="004920C8" w:rsidRDefault="004920C8">
            <w:pPr>
              <w:rPr>
                <w:sz w:val="2"/>
                <w:szCs w:val="2"/>
              </w:rPr>
            </w:pPr>
          </w:p>
        </w:tc>
        <w:tc>
          <w:tcPr>
            <w:tcW w:w="1970" w:type="dxa"/>
            <w:vMerge/>
            <w:tcBorders>
              <w:top w:val="nil"/>
            </w:tcBorders>
          </w:tcPr>
          <w:p w:rsidR="004920C8" w:rsidRDefault="004920C8">
            <w:pPr>
              <w:rPr>
                <w:sz w:val="2"/>
                <w:szCs w:val="2"/>
              </w:rPr>
            </w:pPr>
          </w:p>
        </w:tc>
        <w:tc>
          <w:tcPr>
            <w:tcW w:w="11213" w:type="dxa"/>
            <w:gridSpan w:val="3"/>
          </w:tcPr>
          <w:p w:rsidR="004920C8" w:rsidRDefault="005F4F8E">
            <w:pPr>
              <w:pStyle w:val="TableParagraph"/>
              <w:spacing w:before="39"/>
              <w:ind w:left="248" w:right="97" w:hanging="128"/>
              <w:rPr>
                <w:sz w:val="16"/>
              </w:rPr>
            </w:pPr>
            <w:r>
              <w:rPr>
                <w:sz w:val="16"/>
              </w:rPr>
              <w:t>Tout candidat peut obtenir le maximum ou le minimum de points en fonction de sa place au classement général, observé sur un effectif significatif (qui peut éventuellement dépasser le groupe classe). Les classements des filles et les garçons sont séparés et</w:t>
            </w:r>
            <w:r>
              <w:rPr>
                <w:sz w:val="16"/>
              </w:rPr>
              <w:t xml:space="preserve"> indépendants, les rencontres peuvent être mixtes</w:t>
            </w:r>
          </w:p>
        </w:tc>
      </w:tr>
      <w:tr w:rsidR="004920C8">
        <w:trPr>
          <w:trHeight w:val="369"/>
        </w:trPr>
        <w:tc>
          <w:tcPr>
            <w:tcW w:w="1099" w:type="dxa"/>
            <w:vMerge/>
            <w:tcBorders>
              <w:top w:val="nil"/>
            </w:tcBorders>
          </w:tcPr>
          <w:p w:rsidR="004920C8" w:rsidRDefault="004920C8">
            <w:pPr>
              <w:rPr>
                <w:sz w:val="2"/>
                <w:szCs w:val="2"/>
              </w:rPr>
            </w:pPr>
          </w:p>
        </w:tc>
        <w:tc>
          <w:tcPr>
            <w:tcW w:w="1704" w:type="dxa"/>
            <w:vMerge/>
            <w:tcBorders>
              <w:top w:val="nil"/>
            </w:tcBorders>
          </w:tcPr>
          <w:p w:rsidR="004920C8" w:rsidRDefault="004920C8">
            <w:pPr>
              <w:rPr>
                <w:sz w:val="2"/>
                <w:szCs w:val="2"/>
              </w:rPr>
            </w:pPr>
          </w:p>
        </w:tc>
        <w:tc>
          <w:tcPr>
            <w:tcW w:w="1970" w:type="dxa"/>
          </w:tcPr>
          <w:p w:rsidR="004920C8" w:rsidRDefault="005F4F8E">
            <w:pPr>
              <w:pStyle w:val="TableParagraph"/>
              <w:spacing w:line="180" w:lineRule="exact"/>
              <w:ind w:left="151" w:right="141"/>
              <w:jc w:val="center"/>
              <w:rPr>
                <w:sz w:val="16"/>
              </w:rPr>
            </w:pPr>
            <w:r>
              <w:rPr>
                <w:sz w:val="16"/>
              </w:rPr>
              <w:t>Classement au sein de</w:t>
            </w:r>
          </w:p>
          <w:p w:rsidR="004920C8" w:rsidRDefault="005F4F8E">
            <w:pPr>
              <w:pStyle w:val="TableParagraph"/>
              <w:spacing w:before="1" w:line="168" w:lineRule="exact"/>
              <w:ind w:left="151" w:right="137"/>
              <w:jc w:val="center"/>
              <w:rPr>
                <w:sz w:val="16"/>
              </w:rPr>
            </w:pPr>
            <w:r>
              <w:rPr>
                <w:sz w:val="16"/>
              </w:rPr>
              <w:t>la poule : 2 pts</w:t>
            </w:r>
          </w:p>
        </w:tc>
        <w:tc>
          <w:tcPr>
            <w:tcW w:w="11213" w:type="dxa"/>
            <w:gridSpan w:val="3"/>
          </w:tcPr>
          <w:p w:rsidR="004920C8" w:rsidRDefault="005F4F8E">
            <w:pPr>
              <w:pStyle w:val="TableParagraph"/>
              <w:spacing w:before="89"/>
              <w:ind w:left="108"/>
              <w:rPr>
                <w:sz w:val="16"/>
              </w:rPr>
            </w:pPr>
            <w:r>
              <w:rPr>
                <w:sz w:val="16"/>
              </w:rPr>
              <w:t>Chaque candidat obtient entre 0 et 2 points en fonction de son classement dans la poule (mixte ou non), indépendamment de son niveau de jeu.</w:t>
            </w:r>
          </w:p>
        </w:tc>
      </w:tr>
    </w:tbl>
    <w:p w:rsidR="005F4F8E" w:rsidRDefault="005F4F8E"/>
    <w:sectPr w:rsidR="005F4F8E">
      <w:pgSz w:w="16840" w:h="11910" w:orient="landscape"/>
      <w:pgMar w:top="1400" w:right="320" w:bottom="920" w:left="300" w:header="170" w:footer="7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F8E" w:rsidRDefault="005F4F8E">
      <w:r>
        <w:separator/>
      </w:r>
    </w:p>
  </w:endnote>
  <w:endnote w:type="continuationSeparator" w:id="0">
    <w:p w:rsidR="005F4F8E" w:rsidRDefault="005F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0C8" w:rsidRDefault="009E7B3B">
    <w:pPr>
      <w:pStyle w:val="Corpsdetexte"/>
      <w:spacing w:line="14" w:lineRule="auto"/>
    </w:pPr>
    <w:r>
      <w:rPr>
        <w:noProof/>
        <w:lang w:eastAsia="fr-FR"/>
      </w:rPr>
      <mc:AlternateContent>
        <mc:Choice Requires="wps">
          <w:drawing>
            <wp:anchor distT="0" distB="0" distL="114300" distR="114300" simplePos="0" relativeHeight="503309576" behindDoc="1" locked="0" layoutInCell="1" allowOverlap="1">
              <wp:simplePos x="0" y="0"/>
              <wp:positionH relativeFrom="page">
                <wp:posOffset>886460</wp:posOffset>
              </wp:positionH>
              <wp:positionV relativeFrom="page">
                <wp:posOffset>6955790</wp:posOffset>
              </wp:positionV>
              <wp:extent cx="3465195" cy="167005"/>
              <wp:effectExtent l="635" t="2540"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1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0C8" w:rsidRDefault="005F4F8E">
                          <w:pPr>
                            <w:pStyle w:val="Corpsdetexte"/>
                            <w:spacing w:before="12"/>
                            <w:ind w:left="20"/>
                          </w:pPr>
                          <w:r>
                            <w:t xml:space="preserve">© Ministère de l'éducation nationale &gt; </w:t>
                          </w:r>
                          <w:hyperlink r:id="rId1">
                            <w:r>
                              <w:t>www.education.gouv.fr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69.8pt;margin-top:547.7pt;width:272.85pt;height:13.15pt;z-index:-6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68zrwIAALA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" filled="f" stroked="f">
              <v:textbox inset="0,0,0,0">
                <w:txbxContent>
                  <w:p w:rsidR="004920C8" w:rsidRDefault="005F4F8E">
                    <w:pPr>
                      <w:pStyle w:val="Corpsdetexte"/>
                      <w:spacing w:before="12"/>
                      <w:ind w:left="20"/>
                    </w:pPr>
                    <w:r>
                      <w:t xml:space="preserve">© Ministère de l'éducation nationale &gt; </w:t>
                    </w:r>
                    <w:hyperlink r:id="rId2">
                      <w:r>
                        <w:t>www.education.gouv.fr</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F8E" w:rsidRDefault="005F4F8E">
      <w:r>
        <w:separator/>
      </w:r>
    </w:p>
  </w:footnote>
  <w:footnote w:type="continuationSeparator" w:id="0">
    <w:p w:rsidR="005F4F8E" w:rsidRDefault="005F4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0C8" w:rsidRDefault="005F4F8E">
    <w:pPr>
      <w:pStyle w:val="Corpsdetexte"/>
      <w:spacing w:line="14" w:lineRule="auto"/>
    </w:pPr>
    <w:r>
      <w:rPr>
        <w:noProof/>
        <w:lang w:eastAsia="fr-FR"/>
      </w:rPr>
      <w:drawing>
        <wp:anchor distT="0" distB="0" distL="0" distR="0" simplePos="0" relativeHeight="268428479" behindDoc="1" locked="0" layoutInCell="1" allowOverlap="1">
          <wp:simplePos x="0" y="0"/>
          <wp:positionH relativeFrom="page">
            <wp:posOffset>1007744</wp:posOffset>
          </wp:positionH>
          <wp:positionV relativeFrom="page">
            <wp:posOffset>107962</wp:posOffset>
          </wp:positionV>
          <wp:extent cx="1637664" cy="75944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37664" cy="759447"/>
                  </a:xfrm>
                  <a:prstGeom prst="rect">
                    <a:avLst/>
                  </a:prstGeom>
                </pic:spPr>
              </pic:pic>
            </a:graphicData>
          </a:graphic>
        </wp:anchor>
      </w:drawing>
    </w:r>
    <w:r w:rsidR="009E7B3B">
      <w:rPr>
        <w:noProof/>
        <w:lang w:eastAsia="fr-FR"/>
      </w:rPr>
      <mc:AlternateContent>
        <mc:Choice Requires="wps">
          <w:drawing>
            <wp:anchor distT="0" distB="0" distL="114300" distR="114300" simplePos="0" relativeHeight="503309528" behindDoc="1" locked="0" layoutInCell="1" allowOverlap="1">
              <wp:simplePos x="0" y="0"/>
              <wp:positionH relativeFrom="page">
                <wp:posOffset>880745</wp:posOffset>
              </wp:positionH>
              <wp:positionV relativeFrom="page">
                <wp:posOffset>887095</wp:posOffset>
              </wp:positionV>
              <wp:extent cx="8930640" cy="0"/>
              <wp:effectExtent l="13970" t="10795" r="8890" b="825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06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BE19E" id="Line 3" o:spid="_x0000_s1026" style="position:absolute;z-index:-6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69.85pt" to="772.5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Uk7HAIAAEEEAAAOAAAAZHJzL2Uyb0RvYy54bWysU8GO2jAQvVfqP1i+QxJIKU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" strokeweight=".48pt">
              <w10:wrap anchorx="page" anchory="page"/>
            </v:line>
          </w:pict>
        </mc:Fallback>
      </mc:AlternateContent>
    </w:r>
    <w:r w:rsidR="009E7B3B">
      <w:rPr>
        <w:noProof/>
        <w:lang w:eastAsia="fr-FR"/>
      </w:rPr>
      <mc:AlternateContent>
        <mc:Choice Requires="wps">
          <w:drawing>
            <wp:anchor distT="0" distB="0" distL="114300" distR="114300" simplePos="0" relativeHeight="503309552" behindDoc="1" locked="0" layoutInCell="1" allowOverlap="1">
              <wp:simplePos x="0" y="0"/>
              <wp:positionH relativeFrom="page">
                <wp:posOffset>7986395</wp:posOffset>
              </wp:positionH>
              <wp:positionV relativeFrom="page">
                <wp:posOffset>677545</wp:posOffset>
              </wp:positionV>
              <wp:extent cx="1818005" cy="167005"/>
              <wp:effectExtent l="4445" t="127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0C8" w:rsidRDefault="005F4F8E">
                          <w:pPr>
                            <w:pStyle w:val="Corpsdetexte"/>
                            <w:spacing w:before="12"/>
                            <w:ind w:left="20"/>
                          </w:pPr>
                          <w:r>
                            <w:t>Bulletin officiel n° 9 du 1-3-2018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8.85pt;margin-top:53.35pt;width:143.15pt;height:13.15pt;z-index:-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QSrAIAAKk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" filled="f" stroked="f">
              <v:textbox inset="0,0,0,0">
                <w:txbxContent>
                  <w:p w:rsidR="004920C8" w:rsidRDefault="005F4F8E">
                    <w:pPr>
                      <w:pStyle w:val="Corpsdetexte"/>
                      <w:spacing w:before="12"/>
                      <w:ind w:left="20"/>
                    </w:pPr>
                    <w:r>
                      <w:t>Bulletin officiel n° 9 du 1-3-2018</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74FCF"/>
    <w:multiLevelType w:val="hybridMultilevel"/>
    <w:tmpl w:val="FAE4A53E"/>
    <w:lvl w:ilvl="0" w:tplc="CED2E486">
      <w:start w:val="1"/>
      <w:numFmt w:val="decimal"/>
      <w:lvlText w:val="%1."/>
      <w:lvlJc w:val="left"/>
      <w:pPr>
        <w:ind w:left="110" w:hanging="202"/>
        <w:jc w:val="left"/>
      </w:pPr>
      <w:rPr>
        <w:rFonts w:hint="default"/>
        <w:spacing w:val="-1"/>
        <w:w w:val="100"/>
      </w:rPr>
    </w:lvl>
    <w:lvl w:ilvl="1" w:tplc="6F7EBB68">
      <w:numFmt w:val="bullet"/>
      <w:lvlText w:val="•"/>
      <w:lvlJc w:val="left"/>
      <w:pPr>
        <w:ind w:left="522" w:hanging="202"/>
      </w:pPr>
      <w:rPr>
        <w:rFonts w:hint="default"/>
      </w:rPr>
    </w:lvl>
    <w:lvl w:ilvl="2" w:tplc="1E24D348">
      <w:numFmt w:val="bullet"/>
      <w:lvlText w:val="•"/>
      <w:lvlJc w:val="left"/>
      <w:pPr>
        <w:ind w:left="925" w:hanging="202"/>
      </w:pPr>
      <w:rPr>
        <w:rFonts w:hint="default"/>
      </w:rPr>
    </w:lvl>
    <w:lvl w:ilvl="3" w:tplc="EA069B06">
      <w:numFmt w:val="bullet"/>
      <w:lvlText w:val="•"/>
      <w:lvlJc w:val="left"/>
      <w:pPr>
        <w:ind w:left="1328" w:hanging="202"/>
      </w:pPr>
      <w:rPr>
        <w:rFonts w:hint="default"/>
      </w:rPr>
    </w:lvl>
    <w:lvl w:ilvl="4" w:tplc="BDCCE752">
      <w:numFmt w:val="bullet"/>
      <w:lvlText w:val="•"/>
      <w:lvlJc w:val="left"/>
      <w:pPr>
        <w:ind w:left="1730" w:hanging="202"/>
      </w:pPr>
      <w:rPr>
        <w:rFonts w:hint="default"/>
      </w:rPr>
    </w:lvl>
    <w:lvl w:ilvl="5" w:tplc="CA444EAE">
      <w:numFmt w:val="bullet"/>
      <w:lvlText w:val="•"/>
      <w:lvlJc w:val="left"/>
      <w:pPr>
        <w:ind w:left="2133" w:hanging="202"/>
      </w:pPr>
      <w:rPr>
        <w:rFonts w:hint="default"/>
      </w:rPr>
    </w:lvl>
    <w:lvl w:ilvl="6" w:tplc="D13A3A86">
      <w:numFmt w:val="bullet"/>
      <w:lvlText w:val="•"/>
      <w:lvlJc w:val="left"/>
      <w:pPr>
        <w:ind w:left="2536" w:hanging="202"/>
      </w:pPr>
      <w:rPr>
        <w:rFonts w:hint="default"/>
      </w:rPr>
    </w:lvl>
    <w:lvl w:ilvl="7" w:tplc="AD6EC732">
      <w:numFmt w:val="bullet"/>
      <w:lvlText w:val="•"/>
      <w:lvlJc w:val="left"/>
      <w:pPr>
        <w:ind w:left="2938" w:hanging="202"/>
      </w:pPr>
      <w:rPr>
        <w:rFonts w:hint="default"/>
      </w:rPr>
    </w:lvl>
    <w:lvl w:ilvl="8" w:tplc="80908184">
      <w:numFmt w:val="bullet"/>
      <w:lvlText w:val="•"/>
      <w:lvlJc w:val="left"/>
      <w:pPr>
        <w:ind w:left="3341" w:hanging="20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C8"/>
    <w:rsid w:val="004920C8"/>
    <w:rsid w:val="005F4F8E"/>
    <w:rsid w:val="009E7B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57CEA9-738C-44BC-9A22-FF8BDE6D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ducation.gouv.fr/" TargetMode="External"/><Relationship Id="rId1" Type="http://schemas.openxmlformats.org/officeDocument/2006/relationships/hyperlink" Target="http://www.education.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5449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2018-03-06T21:14:00Z</dcterms:created>
  <dcterms:modified xsi:type="dcterms:W3CDTF">2018-03-06T21:14:00Z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2018-03-06T00:00:00Z</vt:filetime>
  </property>
</Properties>
</file>