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1" w:rsidRDefault="004D3CE1" w:rsidP="00896175">
      <w:pPr>
        <w:jc w:val="center"/>
      </w:pPr>
      <w:r>
        <w:t>FOIRE AUX QUESTIONS : UNITE FACULTATIVE DE MOBILITE</w:t>
      </w:r>
    </w:p>
    <w:p w:rsidR="004D3CE1" w:rsidRDefault="004D3CE1" w:rsidP="004D3CE1">
      <w:r w:rsidRPr="004D3CE1">
        <w:rPr>
          <w:b/>
          <w:i/>
          <w:u w:val="single"/>
        </w:rPr>
        <w:t>Textes de référence </w:t>
      </w:r>
      <w:r>
        <w:t>:</w:t>
      </w:r>
    </w:p>
    <w:p w:rsidR="004D3CE1" w:rsidRDefault="004D3CE1" w:rsidP="004D3CE1">
      <w:pPr>
        <w:pStyle w:val="Paragraphedeliste"/>
        <w:numPr>
          <w:ilvl w:val="0"/>
          <w:numId w:val="1"/>
        </w:numPr>
      </w:pPr>
      <w:r>
        <w:t>arrêté du 27 juin 2014 ;</w:t>
      </w:r>
    </w:p>
    <w:p w:rsidR="004D3CE1" w:rsidRDefault="004D3CE1" w:rsidP="004D3CE1">
      <w:pPr>
        <w:pStyle w:val="Paragraphedeliste"/>
        <w:numPr>
          <w:ilvl w:val="0"/>
          <w:numId w:val="1"/>
        </w:numPr>
      </w:pPr>
      <w:r>
        <w:t xml:space="preserve"> JO du 29 juin 2014 ;</w:t>
      </w:r>
    </w:p>
    <w:p w:rsidR="00565CC6" w:rsidRPr="00896175" w:rsidRDefault="004D3CE1" w:rsidP="004D3CE1">
      <w:pPr>
        <w:pStyle w:val="Paragraphedeliste"/>
        <w:numPr>
          <w:ilvl w:val="0"/>
          <w:numId w:val="1"/>
        </w:numPr>
        <w:rPr>
          <w:rFonts w:ascii="Noteworthy Bold" w:hAnsi="Noteworthy Bold" w:cs="Noteworthy Bold"/>
        </w:rPr>
      </w:pPr>
      <w:r>
        <w:t>BO N° 31 du 28 Août 2014.</w:t>
      </w:r>
    </w:p>
    <w:p w:rsidR="00896175" w:rsidRPr="00896175" w:rsidRDefault="00896175" w:rsidP="00896175">
      <w:pPr>
        <w:pStyle w:val="Paragraphedeliste"/>
        <w:rPr>
          <w:rFonts w:ascii="Noteworthy Bold" w:hAnsi="Noteworthy Bold" w:cs="Noteworthy Bold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91A00" w:rsidTr="00B03984">
        <w:tc>
          <w:tcPr>
            <w:tcW w:w="4603" w:type="dxa"/>
            <w:tcBorders>
              <w:bottom w:val="single" w:sz="4" w:space="0" w:color="auto"/>
            </w:tcBorders>
          </w:tcPr>
          <w:p w:rsidR="00391A00" w:rsidRPr="00896175" w:rsidRDefault="00391A00" w:rsidP="00174777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Qui sont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concernés ?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91A00" w:rsidRPr="00896175" w:rsidRDefault="00391A00" w:rsidP="00391A00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  <w:u w:val="single"/>
              </w:rPr>
              <w:t>Tous</w:t>
            </w:r>
            <w:r w:rsidRPr="00896175">
              <w:rPr>
                <w:rFonts w:asciiTheme="majorHAnsi" w:hAnsiTheme="majorHAnsi" w:cs="Noteworthy Bold"/>
              </w:rPr>
              <w:t xml:space="preserve">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ayant </w:t>
            </w:r>
            <w:r w:rsidR="00174777" w:rsidRPr="00896175">
              <w:rPr>
                <w:rFonts w:asciiTheme="majorHAnsi" w:hAnsiTheme="majorHAnsi" w:cs="Noteworthy Bold"/>
              </w:rPr>
              <w:t>bénéficié d’une PFMP à l’étranger, qu’ils soient ou non inscrits en section européenne.  C</w:t>
            </w:r>
            <w:r w:rsidR="005A34A2" w:rsidRPr="00896175">
              <w:rPr>
                <w:rFonts w:asciiTheme="majorHAnsi" w:hAnsiTheme="majorHAnsi" w:cs="Noteworthy Bold"/>
              </w:rPr>
              <w:t xml:space="preserve">ette épreuve </w:t>
            </w:r>
            <w:r w:rsidR="001D6F5A" w:rsidRPr="001D6F5A">
              <w:rPr>
                <w:rFonts w:asciiTheme="majorHAnsi" w:hAnsiTheme="majorHAnsi" w:cs="Noteworthy Bold"/>
                <w:u w:val="single"/>
              </w:rPr>
              <w:t xml:space="preserve">ne se substitue pas </w:t>
            </w:r>
            <w:r w:rsidR="001D6F5A">
              <w:rPr>
                <w:rFonts w:asciiTheme="majorHAnsi" w:hAnsiTheme="majorHAnsi" w:cs="Noteworthy Bold"/>
              </w:rPr>
              <w:t xml:space="preserve">à </w:t>
            </w:r>
            <w:r w:rsidR="005A34A2" w:rsidRPr="00896175">
              <w:rPr>
                <w:rFonts w:asciiTheme="majorHAnsi" w:hAnsiTheme="majorHAnsi" w:cs="Noteworthy Bold"/>
              </w:rPr>
              <w:t>Europass,</w:t>
            </w:r>
            <w:r w:rsidR="001D6F5A">
              <w:rPr>
                <w:rFonts w:asciiTheme="majorHAnsi" w:hAnsiTheme="majorHAnsi" w:cs="Noteworthy Bold"/>
              </w:rPr>
              <w:t xml:space="preserve"> </w:t>
            </w:r>
            <w:proofErr w:type="spellStart"/>
            <w:r w:rsidR="005A34A2" w:rsidRPr="00896175">
              <w:rPr>
                <w:rFonts w:asciiTheme="majorHAnsi" w:hAnsiTheme="majorHAnsi" w:cs="Noteworthy Bold"/>
              </w:rPr>
              <w:t>Europro</w:t>
            </w:r>
            <w:proofErr w:type="spellEnd"/>
            <w:r w:rsidR="005A34A2" w:rsidRPr="00896175">
              <w:rPr>
                <w:rFonts w:asciiTheme="majorHAnsi" w:hAnsiTheme="majorHAnsi" w:cs="Noteworthy Bold"/>
              </w:rPr>
              <w:t xml:space="preserve"> </w:t>
            </w:r>
            <w:r w:rsidR="006F66D4">
              <w:rPr>
                <w:rFonts w:asciiTheme="majorHAnsi" w:hAnsiTheme="majorHAnsi" w:cs="Noteworthy Bold"/>
              </w:rPr>
              <w:t>ou à</w:t>
            </w:r>
            <w:r w:rsidR="005A34A2" w:rsidRPr="00896175">
              <w:rPr>
                <w:rFonts w:asciiTheme="majorHAnsi" w:hAnsiTheme="majorHAnsi" w:cs="Noteworthy Bold"/>
              </w:rPr>
              <w:t xml:space="preserve"> </w:t>
            </w:r>
            <w:r w:rsidR="00174777" w:rsidRPr="00896175">
              <w:rPr>
                <w:rFonts w:asciiTheme="majorHAnsi" w:hAnsiTheme="majorHAnsi" w:cs="Noteworthy Bold"/>
              </w:rPr>
              <w:t xml:space="preserve"> l’épreuve spécifique de section européenne.</w:t>
            </w:r>
          </w:p>
          <w:p w:rsidR="00B03984" w:rsidRPr="00896175" w:rsidRDefault="00B03984" w:rsidP="00391A00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-L’épreuve concerne également les apprentis suivant une formation dans un établissement habilité CCF, ainsi que les stagiaires de la formation professionnelle continue dans un établissement public.</w:t>
            </w:r>
          </w:p>
        </w:tc>
      </w:tr>
      <w:tr w:rsidR="000656BA" w:rsidTr="00B03984">
        <w:tc>
          <w:tcPr>
            <w:tcW w:w="9206" w:type="dxa"/>
            <w:gridSpan w:val="2"/>
            <w:shd w:val="pct10" w:color="auto" w:fill="auto"/>
          </w:tcPr>
          <w:p w:rsidR="000656BA" w:rsidRPr="00896175" w:rsidRDefault="000656BA" w:rsidP="00174777">
            <w:pPr>
              <w:jc w:val="center"/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PREPARATION DES </w:t>
            </w:r>
            <w:r w:rsidR="001D6F5A">
              <w:rPr>
                <w:rFonts w:asciiTheme="majorHAnsi" w:hAnsiTheme="majorHAnsi" w:cs="Noteworthy Bold"/>
              </w:rPr>
              <w:t>CANDIDATS</w:t>
            </w:r>
          </w:p>
        </w:tc>
      </w:tr>
      <w:tr w:rsidR="00565CC6" w:rsidTr="00565CC6">
        <w:tc>
          <w:tcPr>
            <w:tcW w:w="4603" w:type="dxa"/>
          </w:tcPr>
          <w:p w:rsidR="00565CC6" w:rsidRPr="00896175" w:rsidRDefault="000656BA" w:rsidP="000656BA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Comment préparer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à l’épreuve de mobilité ?</w:t>
            </w:r>
          </w:p>
        </w:tc>
        <w:tc>
          <w:tcPr>
            <w:tcW w:w="4603" w:type="dxa"/>
          </w:tcPr>
          <w:p w:rsidR="00B272E5" w:rsidRPr="00896175" w:rsidRDefault="00B272E5" w:rsidP="00174777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 Il est recommandé d’aborder cette question lors du conseil pédagogique afin de définir les modalités de cette préparation.</w:t>
            </w:r>
          </w:p>
          <w:p w:rsidR="00174777" w:rsidRPr="00896175" w:rsidRDefault="00154275" w:rsidP="00174777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0656BA" w:rsidRPr="00896175">
              <w:rPr>
                <w:rFonts w:asciiTheme="majorHAnsi" w:hAnsiTheme="majorHAnsi" w:cs="Noteworthy Bold"/>
              </w:rPr>
              <w:t>Cette préparation doit être</w:t>
            </w:r>
            <w:r w:rsidR="00391A00" w:rsidRPr="00896175">
              <w:rPr>
                <w:rFonts w:asciiTheme="majorHAnsi" w:hAnsiTheme="majorHAnsi" w:cs="Noteworthy Bold"/>
              </w:rPr>
              <w:t xml:space="preserve"> pluridisciplinaire,</w:t>
            </w:r>
            <w:r w:rsidR="00174777" w:rsidRPr="00896175">
              <w:rPr>
                <w:rFonts w:asciiTheme="majorHAnsi" w:hAnsiTheme="majorHAnsi" w:cs="Noteworthy Bold"/>
              </w:rPr>
              <w:t xml:space="preserve"> concertée et anticipée</w:t>
            </w:r>
            <w:r w:rsidR="008B11AF" w:rsidRPr="00896175">
              <w:rPr>
                <w:rFonts w:asciiTheme="majorHAnsi" w:hAnsiTheme="majorHAnsi" w:cs="Noteworthy Bold"/>
              </w:rPr>
              <w:t> : préparation  linguistique (le cas échéant), interculturelle, culturelle, professionnelle, etc.</w:t>
            </w:r>
            <w:r w:rsidR="00174777" w:rsidRPr="00896175">
              <w:rPr>
                <w:rFonts w:asciiTheme="majorHAnsi" w:hAnsiTheme="majorHAnsi" w:cs="Noteworthy Bold"/>
              </w:rPr>
              <w:t xml:space="preserve"> </w:t>
            </w:r>
          </w:p>
          <w:p w:rsidR="00174777" w:rsidRPr="00896175" w:rsidRDefault="00174777" w:rsidP="00174777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 Une atte</w:t>
            </w:r>
            <w:r w:rsidR="008B11AF" w:rsidRPr="00896175">
              <w:rPr>
                <w:rFonts w:asciiTheme="majorHAnsi" w:hAnsiTheme="majorHAnsi" w:cs="Noteworthy Bold"/>
              </w:rPr>
              <w:t xml:space="preserve">ntion particulière devra être </w:t>
            </w:r>
            <w:r w:rsidRPr="00896175">
              <w:rPr>
                <w:rFonts w:asciiTheme="majorHAnsi" w:hAnsiTheme="majorHAnsi" w:cs="Noteworthy Bold"/>
              </w:rPr>
              <w:t>portée afin</w:t>
            </w:r>
            <w:r w:rsidR="00B272E5" w:rsidRPr="00896175">
              <w:rPr>
                <w:rFonts w:asciiTheme="majorHAnsi" w:hAnsiTheme="majorHAnsi" w:cs="Noteworthy Bold"/>
              </w:rPr>
              <w:t xml:space="preserve"> de préparer et</w:t>
            </w:r>
            <w:r w:rsidRPr="00896175">
              <w:rPr>
                <w:rFonts w:asciiTheme="majorHAnsi" w:hAnsiTheme="majorHAnsi" w:cs="Noteworthy Bold"/>
              </w:rPr>
              <w:t xml:space="preserve"> d’aider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à </w:t>
            </w:r>
            <w:r w:rsidR="00B272E5" w:rsidRPr="00896175">
              <w:rPr>
                <w:rFonts w:asciiTheme="majorHAnsi" w:hAnsiTheme="majorHAnsi" w:cs="Noteworthy Bold"/>
              </w:rPr>
              <w:t>la comparaison</w:t>
            </w:r>
            <w:r w:rsidR="00154275" w:rsidRPr="00896175">
              <w:rPr>
                <w:rFonts w:asciiTheme="majorHAnsi" w:hAnsiTheme="majorHAnsi" w:cs="Noteworthy Bold"/>
              </w:rPr>
              <w:t xml:space="preserve"> </w:t>
            </w:r>
            <w:r w:rsidR="00B272E5" w:rsidRPr="00896175">
              <w:rPr>
                <w:rFonts w:asciiTheme="majorHAnsi" w:hAnsiTheme="majorHAnsi" w:cs="Noteworthy Bold"/>
              </w:rPr>
              <w:t>« </w:t>
            </w:r>
            <w:r w:rsidR="00154275" w:rsidRPr="00896175">
              <w:rPr>
                <w:rFonts w:asciiTheme="majorHAnsi" w:hAnsiTheme="majorHAnsi" w:cs="Noteworthy Bold"/>
              </w:rPr>
              <w:t>des</w:t>
            </w:r>
            <w:r w:rsidR="007330A4" w:rsidRPr="00896175">
              <w:rPr>
                <w:rFonts w:asciiTheme="majorHAnsi" w:hAnsiTheme="majorHAnsi" w:cs="Noteworthy Bold"/>
              </w:rPr>
              <w:t xml:space="preserve"> activité</w:t>
            </w:r>
            <w:r w:rsidR="00154275" w:rsidRPr="00896175">
              <w:rPr>
                <w:rFonts w:asciiTheme="majorHAnsi" w:hAnsiTheme="majorHAnsi" w:cs="Noteworthy Bold"/>
              </w:rPr>
              <w:t>s</w:t>
            </w:r>
            <w:r w:rsidR="007330A4" w:rsidRPr="00896175">
              <w:rPr>
                <w:rFonts w:asciiTheme="majorHAnsi" w:hAnsiTheme="majorHAnsi" w:cs="Noteworthy Bold"/>
              </w:rPr>
              <w:t xml:space="preserve"> professionnelle</w:t>
            </w:r>
            <w:r w:rsidR="00154275" w:rsidRPr="00896175">
              <w:rPr>
                <w:rFonts w:asciiTheme="majorHAnsi" w:hAnsiTheme="majorHAnsi" w:cs="Noteworthy Bold"/>
              </w:rPr>
              <w:t>s similaires réalisées ou observées, à l’étranger et en France</w:t>
            </w:r>
            <w:r w:rsidR="007330A4" w:rsidRPr="00896175">
              <w:rPr>
                <w:rFonts w:asciiTheme="majorHAnsi" w:hAnsiTheme="majorHAnsi" w:cs="Noteworthy Bold"/>
              </w:rPr>
              <w:t> »</w:t>
            </w:r>
            <w:r w:rsidR="00B272E5" w:rsidRPr="00896175">
              <w:rPr>
                <w:rFonts w:asciiTheme="majorHAnsi" w:hAnsiTheme="majorHAnsi" w:cs="Noteworthy Bold"/>
              </w:rPr>
              <w:t xml:space="preserve"> mais également  à l’indentification d</w:t>
            </w:r>
            <w:r w:rsidR="007330A4" w:rsidRPr="00896175">
              <w:rPr>
                <w:rFonts w:asciiTheme="majorHAnsi" w:hAnsiTheme="majorHAnsi" w:cs="Noteworthy Bold"/>
              </w:rPr>
              <w:t>es caractéristiques culturelles du contexte d’accueil »</w:t>
            </w:r>
            <w:r w:rsidRPr="00896175">
              <w:rPr>
                <w:rFonts w:asciiTheme="majorHAnsi" w:hAnsiTheme="majorHAnsi" w:cs="Noteworthy Bold"/>
              </w:rPr>
              <w:t>.</w:t>
            </w:r>
          </w:p>
          <w:p w:rsidR="00154275" w:rsidRPr="00896175" w:rsidRDefault="00174777" w:rsidP="001D6F5A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0656BA" w:rsidRPr="00896175">
              <w:rPr>
                <w:rFonts w:asciiTheme="majorHAnsi" w:hAnsiTheme="majorHAnsi" w:cs="Noteworthy Bold"/>
              </w:rPr>
              <w:t xml:space="preserve">Pour les établissements ayant une section européenne, les cours de DNL </w:t>
            </w:r>
            <w:r w:rsidR="00154275" w:rsidRPr="00896175">
              <w:rPr>
                <w:rFonts w:asciiTheme="majorHAnsi" w:hAnsiTheme="majorHAnsi" w:cs="Noteworthy Bold"/>
              </w:rPr>
              <w:t xml:space="preserve">ou d’anglais renforcé </w:t>
            </w:r>
            <w:r w:rsidR="001D6F5A">
              <w:rPr>
                <w:rFonts w:asciiTheme="majorHAnsi" w:hAnsiTheme="majorHAnsi" w:cs="Noteworthy Bold"/>
              </w:rPr>
              <w:t>n’ont pas vocation à</w:t>
            </w:r>
            <w:r w:rsidR="000656BA" w:rsidRPr="00896175">
              <w:rPr>
                <w:rFonts w:asciiTheme="majorHAnsi" w:hAnsiTheme="majorHAnsi" w:cs="Noteworthy Bold"/>
              </w:rPr>
              <w:t xml:space="preserve"> être exclusivement réservés à la préparation de l’épreuve</w:t>
            </w:r>
            <w:r w:rsidR="001D6F5A">
              <w:rPr>
                <w:rFonts w:asciiTheme="majorHAnsi" w:hAnsiTheme="majorHAnsi" w:cs="Noteworthy Bold"/>
              </w:rPr>
              <w:t>. Ils sont complémentaires et</w:t>
            </w:r>
            <w:r w:rsidR="006932E5">
              <w:rPr>
                <w:rFonts w:asciiTheme="majorHAnsi" w:hAnsiTheme="majorHAnsi" w:cs="Noteworthy Bold"/>
              </w:rPr>
              <w:t xml:space="preserve"> de part leurs spécificités</w:t>
            </w:r>
            <w:r w:rsidR="001D6F5A">
              <w:rPr>
                <w:rFonts w:asciiTheme="majorHAnsi" w:hAnsiTheme="majorHAnsi" w:cs="Noteworthy Bold"/>
              </w:rPr>
              <w:t xml:space="preserve"> contribuent à la préparation linguistique, professionnelle et culturelle des candidats.</w:t>
            </w:r>
          </w:p>
        </w:tc>
      </w:tr>
      <w:tr w:rsidR="00174777" w:rsidTr="00B03984">
        <w:tc>
          <w:tcPr>
            <w:tcW w:w="9206" w:type="dxa"/>
            <w:gridSpan w:val="2"/>
            <w:shd w:val="clear" w:color="auto" w:fill="D9D9D9" w:themeFill="background1" w:themeFillShade="D9"/>
          </w:tcPr>
          <w:p w:rsidR="00174777" w:rsidRPr="00896175" w:rsidRDefault="00174777" w:rsidP="00174777">
            <w:pPr>
              <w:jc w:val="center"/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PREPARATION A L’EVALUATION DES </w:t>
            </w:r>
            <w:r w:rsidR="001D6F5A">
              <w:rPr>
                <w:rFonts w:asciiTheme="majorHAnsi" w:hAnsiTheme="majorHAnsi" w:cs="Noteworthy Bold"/>
              </w:rPr>
              <w:t>CANDIDATS</w:t>
            </w:r>
          </w:p>
        </w:tc>
      </w:tr>
      <w:tr w:rsidR="00565CC6" w:rsidTr="00543190">
        <w:trPr>
          <w:trHeight w:val="48"/>
        </w:trPr>
        <w:tc>
          <w:tcPr>
            <w:tcW w:w="4603" w:type="dxa"/>
          </w:tcPr>
          <w:p w:rsidR="00565CC6" w:rsidRPr="00896175" w:rsidRDefault="000656BA" w:rsidP="004D3CE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Où trouver les grilles d’évaluation ?</w:t>
            </w:r>
          </w:p>
        </w:tc>
        <w:tc>
          <w:tcPr>
            <w:tcW w:w="4603" w:type="dxa"/>
          </w:tcPr>
          <w:p w:rsidR="005A34A2" w:rsidRPr="00896175" w:rsidRDefault="005A34A2" w:rsidP="004D3CE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0656BA" w:rsidRPr="00896175">
              <w:rPr>
                <w:rFonts w:asciiTheme="majorHAnsi" w:hAnsiTheme="majorHAnsi" w:cs="Noteworthy Bold"/>
              </w:rPr>
              <w:t>Les grilles sont données en annexe du BO 31 du 28 Août 2014.</w:t>
            </w:r>
          </w:p>
          <w:p w:rsidR="000656BA" w:rsidRDefault="005A34A2" w:rsidP="004D3CE1">
            <w:pPr>
              <w:rPr>
                <w:rFonts w:asciiTheme="majorHAnsi" w:hAnsiTheme="majorHAnsi" w:cs="Noteworthy Bold"/>
              </w:rPr>
            </w:pPr>
            <w:r w:rsidRPr="00896175">
              <w:t xml:space="preserve">- </w:t>
            </w:r>
            <w:r w:rsidR="000656BA" w:rsidRPr="00896175">
              <w:rPr>
                <w:rFonts w:asciiTheme="majorHAnsi" w:hAnsiTheme="majorHAnsi" w:cs="Noteworthy Bold"/>
              </w:rPr>
              <w:t>Une version académique est disponible sur nos sites disciplinaires.</w:t>
            </w:r>
          </w:p>
          <w:p w:rsidR="007C3C5E" w:rsidRPr="00896175" w:rsidRDefault="007C3C5E" w:rsidP="004D3CE1">
            <w:pPr>
              <w:rPr>
                <w:rFonts w:asciiTheme="majorHAnsi" w:hAnsiTheme="majorHAnsi" w:cs="Noteworthy Bold"/>
              </w:rPr>
            </w:pPr>
          </w:p>
        </w:tc>
      </w:tr>
      <w:tr w:rsidR="00B03984" w:rsidTr="00565CC6">
        <w:tc>
          <w:tcPr>
            <w:tcW w:w="4603" w:type="dxa"/>
          </w:tcPr>
          <w:p w:rsidR="00B03984" w:rsidRPr="00896175" w:rsidRDefault="008B11AF" w:rsidP="004D3CE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lastRenderedPageBreak/>
              <w:t>Quelles informations doivent figurer dans la convention de stage ?</w:t>
            </w:r>
          </w:p>
        </w:tc>
        <w:tc>
          <w:tcPr>
            <w:tcW w:w="4603" w:type="dxa"/>
          </w:tcPr>
          <w:p w:rsidR="00B03984" w:rsidRPr="00896175" w:rsidRDefault="008B11AF" w:rsidP="00AD56EF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-La convention établie entre l’établissement français et l’entreprise ou l’établissement de formation professionnelle doit </w:t>
            </w:r>
            <w:r w:rsidR="00896175">
              <w:rPr>
                <w:rFonts w:asciiTheme="majorHAnsi" w:hAnsiTheme="majorHAnsi" w:cs="Noteworthy Bold"/>
              </w:rPr>
              <w:t>stipuler comment la grille</w:t>
            </w:r>
            <w:r w:rsidR="00AD56EF">
              <w:rPr>
                <w:rFonts w:asciiTheme="majorHAnsi" w:hAnsiTheme="majorHAnsi" w:cs="Noteworthy Bold"/>
              </w:rPr>
              <w:t>, une fois</w:t>
            </w:r>
            <w:r w:rsidR="00896175">
              <w:rPr>
                <w:rFonts w:asciiTheme="majorHAnsi" w:hAnsiTheme="majorHAnsi" w:cs="Noteworthy Bold"/>
              </w:rPr>
              <w:t xml:space="preserve"> </w:t>
            </w:r>
            <w:r w:rsidR="00AD56EF">
              <w:rPr>
                <w:rFonts w:asciiTheme="majorHAnsi" w:hAnsiTheme="majorHAnsi" w:cs="Noteworthy Bold"/>
              </w:rPr>
              <w:t xml:space="preserve"> complétée</w:t>
            </w:r>
            <w:r w:rsidR="00543190">
              <w:rPr>
                <w:rFonts w:asciiTheme="majorHAnsi" w:hAnsiTheme="majorHAnsi" w:cs="Noteworthy Bold"/>
              </w:rPr>
              <w:t>,</w:t>
            </w:r>
            <w:r w:rsidR="00AD56EF">
              <w:rPr>
                <w:rFonts w:asciiTheme="majorHAnsi" w:hAnsiTheme="majorHAnsi" w:cs="Noteworthy Bold"/>
              </w:rPr>
              <w:t xml:space="preserve"> est transmise à l’établissement du candidat</w:t>
            </w:r>
            <w:r w:rsidRPr="00896175">
              <w:rPr>
                <w:rFonts w:asciiTheme="majorHAnsi" w:hAnsiTheme="majorHAnsi" w:cs="Noteworthy Bold"/>
              </w:rPr>
              <w:t>.</w:t>
            </w:r>
          </w:p>
        </w:tc>
      </w:tr>
      <w:tr w:rsidR="005A34A2" w:rsidTr="00B03984">
        <w:tc>
          <w:tcPr>
            <w:tcW w:w="9206" w:type="dxa"/>
            <w:gridSpan w:val="2"/>
            <w:shd w:val="clear" w:color="auto" w:fill="D9D9D9" w:themeFill="background1" w:themeFillShade="D9"/>
          </w:tcPr>
          <w:p w:rsidR="005A34A2" w:rsidRPr="00896175" w:rsidRDefault="005A34A2" w:rsidP="005A34A2">
            <w:pPr>
              <w:jc w:val="center"/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L’EVALUATION DES </w:t>
            </w:r>
            <w:r w:rsidR="008B11AF" w:rsidRPr="00896175">
              <w:rPr>
                <w:rFonts w:asciiTheme="majorHAnsi" w:hAnsiTheme="majorHAnsi" w:cs="Noteworthy Bold"/>
              </w:rPr>
              <w:t>CANDIDATS</w:t>
            </w:r>
            <w:r w:rsidR="00777AD1" w:rsidRPr="00896175">
              <w:rPr>
                <w:rFonts w:asciiTheme="majorHAnsi" w:hAnsiTheme="majorHAnsi" w:cs="Noteworthy Bold"/>
              </w:rPr>
              <w:t> : 1</w:t>
            </w:r>
            <w:r w:rsidR="00777AD1" w:rsidRPr="00896175">
              <w:rPr>
                <w:rFonts w:asciiTheme="majorHAnsi" w:hAnsiTheme="majorHAnsi" w:cs="Noteworthy Bold"/>
                <w:vertAlign w:val="superscript"/>
              </w:rPr>
              <w:t>ère</w:t>
            </w:r>
            <w:r w:rsidR="00777AD1" w:rsidRPr="00896175">
              <w:rPr>
                <w:rFonts w:asciiTheme="majorHAnsi" w:hAnsiTheme="majorHAnsi" w:cs="Noteworthy Bold"/>
              </w:rPr>
              <w:t xml:space="preserve"> partie, à l’étranger.</w:t>
            </w:r>
          </w:p>
        </w:tc>
      </w:tr>
      <w:tr w:rsidR="000736BC" w:rsidTr="009025B9">
        <w:tc>
          <w:tcPr>
            <w:tcW w:w="4603" w:type="dxa"/>
          </w:tcPr>
          <w:p w:rsidR="000736BC" w:rsidRPr="00896175" w:rsidRDefault="000736BC" w:rsidP="000736BC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Qui évalue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lors de leur PFMP à l’étranger ?</w:t>
            </w:r>
          </w:p>
        </w:tc>
        <w:tc>
          <w:tcPr>
            <w:tcW w:w="4603" w:type="dxa"/>
          </w:tcPr>
          <w:p w:rsidR="000736BC" w:rsidRPr="00896175" w:rsidRDefault="008B11AF" w:rsidP="00090E12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090E12" w:rsidRPr="00896175">
              <w:rPr>
                <w:rFonts w:asciiTheme="majorHAnsi" w:hAnsiTheme="majorHAnsi" w:cs="Noteworthy Bold"/>
              </w:rPr>
              <w:t>Ils</w:t>
            </w:r>
            <w:r w:rsidRPr="00896175">
              <w:rPr>
                <w:rFonts w:asciiTheme="majorHAnsi" w:hAnsiTheme="majorHAnsi" w:cs="Noteworthy Bold"/>
              </w:rPr>
              <w:t xml:space="preserve"> sont évalués par </w:t>
            </w:r>
            <w:r w:rsidR="00090E12" w:rsidRPr="00896175">
              <w:rPr>
                <w:rFonts w:asciiTheme="majorHAnsi" w:hAnsiTheme="majorHAnsi" w:cs="Noteworthy Bold"/>
              </w:rPr>
              <w:t>l’évaluateur étranger qui juge de leur degré de maîtrise des compétences C1 et C3.</w:t>
            </w:r>
          </w:p>
        </w:tc>
      </w:tr>
      <w:tr w:rsidR="000736BC" w:rsidTr="009025B9">
        <w:tc>
          <w:tcPr>
            <w:tcW w:w="4603" w:type="dxa"/>
          </w:tcPr>
          <w:p w:rsidR="000736BC" w:rsidRPr="00896175" w:rsidRDefault="000736BC" w:rsidP="000736BC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Qui note les </w:t>
            </w:r>
            <w:r w:rsidR="001D6F5A">
              <w:rPr>
                <w:rFonts w:asciiTheme="majorHAnsi" w:hAnsiTheme="majorHAnsi" w:cs="Noteworthy Bold"/>
              </w:rPr>
              <w:t>candidats</w:t>
            </w:r>
            <w:r w:rsidRPr="00896175">
              <w:rPr>
                <w:rFonts w:asciiTheme="majorHAnsi" w:hAnsiTheme="majorHAnsi" w:cs="Noteworthy Bold"/>
              </w:rPr>
              <w:t xml:space="preserve"> suite à leur évaluation en PFMP</w:t>
            </w:r>
            <w:r w:rsidR="00090E12" w:rsidRPr="00896175">
              <w:rPr>
                <w:rFonts w:asciiTheme="majorHAnsi" w:hAnsiTheme="majorHAnsi" w:cs="Noteworthy Bold"/>
              </w:rPr>
              <w:t> </w:t>
            </w:r>
            <w:r w:rsidRPr="00896175">
              <w:rPr>
                <w:rFonts w:asciiTheme="majorHAnsi" w:hAnsiTheme="majorHAnsi" w:cs="Noteworthy Bold"/>
              </w:rPr>
              <w:t>?</w:t>
            </w:r>
            <w:r w:rsidR="00896175" w:rsidRPr="00896175">
              <w:rPr>
                <w:rFonts w:asciiTheme="majorHAnsi" w:hAnsiTheme="majorHAnsi" w:cs="Noteworthy Bold"/>
              </w:rPr>
              <w:t xml:space="preserve"> (notée sur 8 points)</w:t>
            </w:r>
          </w:p>
        </w:tc>
        <w:tc>
          <w:tcPr>
            <w:tcW w:w="4603" w:type="dxa"/>
          </w:tcPr>
          <w:p w:rsidR="000736BC" w:rsidRPr="00896175" w:rsidRDefault="00090E12" w:rsidP="00896175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896175" w:rsidRPr="00896175">
              <w:rPr>
                <w:rFonts w:asciiTheme="majorHAnsi" w:hAnsiTheme="majorHAnsi" w:cs="Noteworthy Bold"/>
              </w:rPr>
              <w:t xml:space="preserve"> </w:t>
            </w:r>
            <w:r w:rsidR="004368B9" w:rsidRPr="00896175">
              <w:rPr>
                <w:rFonts w:asciiTheme="majorHAnsi" w:hAnsiTheme="majorHAnsi" w:cs="Noteworthy Bold"/>
              </w:rPr>
              <w:t xml:space="preserve"> l</w:t>
            </w:r>
            <w:r w:rsidRPr="00896175">
              <w:rPr>
                <w:rFonts w:asciiTheme="majorHAnsi" w:hAnsiTheme="majorHAnsi" w:cs="Noteworthy Bold"/>
              </w:rPr>
              <w:t>es évaluateurs désignés pour la deux</w:t>
            </w:r>
            <w:r w:rsidR="00896175" w:rsidRPr="00896175">
              <w:rPr>
                <w:rFonts w:asciiTheme="majorHAnsi" w:hAnsiTheme="majorHAnsi" w:cs="Noteworthy Bold"/>
              </w:rPr>
              <w:t>ième partie attribuent les points en fonction du positionnement opéré par le tuteur. Cette note sera ensuite proposée au jury du Baccalauréat.</w:t>
            </w:r>
          </w:p>
        </w:tc>
      </w:tr>
      <w:tr w:rsidR="00777AD1" w:rsidTr="00777AD1">
        <w:tc>
          <w:tcPr>
            <w:tcW w:w="9206" w:type="dxa"/>
            <w:gridSpan w:val="2"/>
            <w:shd w:val="clear" w:color="auto" w:fill="D9D9D9" w:themeFill="background1" w:themeFillShade="D9"/>
          </w:tcPr>
          <w:p w:rsidR="00777AD1" w:rsidRPr="00896175" w:rsidRDefault="00777AD1" w:rsidP="00777AD1">
            <w:pPr>
              <w:jc w:val="center"/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L’EVALUATION DES CANDIDATS : 2</w:t>
            </w:r>
            <w:r w:rsidRPr="00896175">
              <w:rPr>
                <w:rFonts w:asciiTheme="majorHAnsi" w:hAnsiTheme="majorHAnsi" w:cs="Noteworthy Bold"/>
                <w:vertAlign w:val="superscript"/>
              </w:rPr>
              <w:t>ème</w:t>
            </w:r>
            <w:r w:rsidRPr="00896175">
              <w:rPr>
                <w:rFonts w:asciiTheme="majorHAnsi" w:hAnsiTheme="majorHAnsi" w:cs="Noteworthy Bold"/>
              </w:rPr>
              <w:t xml:space="preserve"> partie, dans l’établissement français de formation.</w:t>
            </w:r>
          </w:p>
        </w:tc>
      </w:tr>
      <w:tr w:rsidR="005A34A2" w:rsidTr="001703F1">
        <w:tc>
          <w:tcPr>
            <w:tcW w:w="4603" w:type="dxa"/>
          </w:tcPr>
          <w:p w:rsidR="005A34A2" w:rsidRPr="00896175" w:rsidRDefault="000736BC" w:rsidP="008B11AF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Comment  évaluer et noter </w:t>
            </w:r>
            <w:r w:rsidR="008B11AF" w:rsidRPr="00896175">
              <w:rPr>
                <w:rFonts w:asciiTheme="majorHAnsi" w:hAnsiTheme="majorHAnsi" w:cs="Noteworthy Bold"/>
              </w:rPr>
              <w:t>cette</w:t>
            </w:r>
            <w:r w:rsidRPr="00896175">
              <w:rPr>
                <w:rFonts w:asciiTheme="majorHAnsi" w:hAnsiTheme="majorHAnsi" w:cs="Noteworthy Bold"/>
              </w:rPr>
              <w:t xml:space="preserve"> partie de l’épreuve ?</w:t>
            </w:r>
            <w:r w:rsidR="00896175" w:rsidRPr="00896175">
              <w:rPr>
                <w:rFonts w:asciiTheme="majorHAnsi" w:hAnsiTheme="majorHAnsi" w:cs="Noteworthy Bold"/>
              </w:rPr>
              <w:t xml:space="preserve"> (notée sur 12 points)</w:t>
            </w:r>
          </w:p>
        </w:tc>
        <w:tc>
          <w:tcPr>
            <w:tcW w:w="4603" w:type="dxa"/>
          </w:tcPr>
          <w:p w:rsidR="005A34A2" w:rsidRPr="00896175" w:rsidRDefault="00777AD1" w:rsidP="007C3C5E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</w:t>
            </w:r>
            <w:r w:rsidR="007C3C5E">
              <w:rPr>
                <w:rFonts w:asciiTheme="majorHAnsi" w:hAnsiTheme="majorHAnsi" w:cs="Noteworthy Bold"/>
              </w:rPr>
              <w:t xml:space="preserve"> I</w:t>
            </w:r>
            <w:r w:rsidRPr="00896175">
              <w:rPr>
                <w:rFonts w:asciiTheme="majorHAnsi" w:hAnsiTheme="majorHAnsi" w:cs="Noteworthy Bold"/>
              </w:rPr>
              <w:t xml:space="preserve">l s’agit d’évaluer </w:t>
            </w:r>
            <w:r w:rsidR="007C3C5E">
              <w:rPr>
                <w:rFonts w:asciiTheme="majorHAnsi" w:hAnsiTheme="majorHAnsi" w:cs="Noteworthy Bold"/>
              </w:rPr>
              <w:t>et de répartir les points en fonction du</w:t>
            </w:r>
            <w:r w:rsidRPr="00896175">
              <w:rPr>
                <w:rFonts w:asciiTheme="majorHAnsi" w:hAnsiTheme="majorHAnsi" w:cs="Noteworthy Bold"/>
              </w:rPr>
              <w:t xml:space="preserve"> degré de maîtrise des compétences C2, C4, C5, C6 ainsi que</w:t>
            </w:r>
            <w:r w:rsidR="007C3C5E">
              <w:rPr>
                <w:rFonts w:asciiTheme="majorHAnsi" w:hAnsiTheme="majorHAnsi" w:cs="Noteworthy Bold"/>
              </w:rPr>
              <w:t xml:space="preserve"> de</w:t>
            </w:r>
            <w:r w:rsidRPr="00896175">
              <w:rPr>
                <w:rFonts w:asciiTheme="majorHAnsi" w:hAnsiTheme="majorHAnsi" w:cs="Noteworthy Bold"/>
              </w:rPr>
              <w:t xml:space="preserve"> la conformité aux résultats attendus définis par le BO. </w:t>
            </w:r>
          </w:p>
        </w:tc>
      </w:tr>
      <w:tr w:rsidR="00896175" w:rsidTr="001703F1">
        <w:tc>
          <w:tcPr>
            <w:tcW w:w="4603" w:type="dxa"/>
          </w:tcPr>
          <w:p w:rsidR="00896175" w:rsidRPr="00896175" w:rsidRDefault="00896175" w:rsidP="008B11AF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Que faire si le candidat n’a pas de support au moment de l’évaluation ?</w:t>
            </w:r>
          </w:p>
        </w:tc>
        <w:tc>
          <w:tcPr>
            <w:tcW w:w="4603" w:type="dxa"/>
          </w:tcPr>
          <w:p w:rsidR="00896175" w:rsidRPr="00896175" w:rsidRDefault="00896175" w:rsidP="00777AD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-La note de 0/12 lui sera attribuée. Le texte précise que « Cette présentation, d’une durée de 10 minutes, prend appui sur un support réalisé par le candidat »</w:t>
            </w:r>
            <w:r w:rsidR="008304FF">
              <w:rPr>
                <w:rFonts w:asciiTheme="majorHAnsi" w:hAnsiTheme="majorHAnsi" w:cs="Noteworthy Bold"/>
              </w:rPr>
              <w:t>.</w:t>
            </w:r>
          </w:p>
        </w:tc>
      </w:tr>
      <w:tr w:rsidR="005A34A2" w:rsidTr="00B03984">
        <w:tc>
          <w:tcPr>
            <w:tcW w:w="9206" w:type="dxa"/>
            <w:gridSpan w:val="2"/>
            <w:shd w:val="clear" w:color="auto" w:fill="D9D9D9" w:themeFill="background1" w:themeFillShade="D9"/>
          </w:tcPr>
          <w:p w:rsidR="005A34A2" w:rsidRPr="00896175" w:rsidRDefault="005A34A2" w:rsidP="005A34A2">
            <w:pPr>
              <w:jc w:val="center"/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A L’ISSUE DE L’EVALUATION</w:t>
            </w:r>
          </w:p>
        </w:tc>
      </w:tr>
      <w:tr w:rsidR="005A34A2" w:rsidTr="009B0DDB">
        <w:tc>
          <w:tcPr>
            <w:tcW w:w="4603" w:type="dxa"/>
          </w:tcPr>
          <w:p w:rsidR="005A34A2" w:rsidRPr="00896175" w:rsidRDefault="005A34A2" w:rsidP="005A34A2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Comment doivent être conservées les notes</w:t>
            </w:r>
            <w:r w:rsidR="00777AD1" w:rsidRPr="00896175">
              <w:rPr>
                <w:rFonts w:asciiTheme="majorHAnsi" w:hAnsiTheme="majorHAnsi" w:cs="Noteworthy Bold"/>
              </w:rPr>
              <w:t> </w:t>
            </w:r>
            <w:r w:rsidRPr="00896175">
              <w:rPr>
                <w:rFonts w:asciiTheme="majorHAnsi" w:hAnsiTheme="majorHAnsi" w:cs="Noteworthy Bold"/>
              </w:rPr>
              <w:t>?</w:t>
            </w:r>
          </w:p>
        </w:tc>
        <w:tc>
          <w:tcPr>
            <w:tcW w:w="4603" w:type="dxa"/>
          </w:tcPr>
          <w:p w:rsidR="005A34A2" w:rsidRPr="00896175" w:rsidRDefault="00777AD1" w:rsidP="00777AD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-L’évaluation peut avoir lieu au cours des 3 années de formation. Les notes doivent donc être conservées en lieu</w:t>
            </w:r>
            <w:r w:rsidR="004368B9" w:rsidRPr="00896175">
              <w:rPr>
                <w:rFonts w:asciiTheme="majorHAnsi" w:hAnsiTheme="majorHAnsi" w:cs="Noteworthy Bold"/>
              </w:rPr>
              <w:t xml:space="preserve"> sû</w:t>
            </w:r>
            <w:r w:rsidRPr="00896175">
              <w:rPr>
                <w:rFonts w:asciiTheme="majorHAnsi" w:hAnsiTheme="majorHAnsi" w:cs="Noteworthy Bold"/>
              </w:rPr>
              <w:t>r dans l’établissement du candidat</w:t>
            </w:r>
            <w:r w:rsidR="004368B9" w:rsidRPr="00896175">
              <w:rPr>
                <w:rFonts w:asciiTheme="majorHAnsi" w:hAnsiTheme="majorHAnsi" w:cs="Noteworthy Bold"/>
              </w:rPr>
              <w:t>.</w:t>
            </w:r>
          </w:p>
        </w:tc>
      </w:tr>
      <w:tr w:rsidR="00B03984" w:rsidTr="009B0DDB">
        <w:tc>
          <w:tcPr>
            <w:tcW w:w="4603" w:type="dxa"/>
          </w:tcPr>
          <w:p w:rsidR="00B03984" w:rsidRPr="00896175" w:rsidRDefault="00B03984" w:rsidP="005A34A2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 xml:space="preserve">A qui </w:t>
            </w:r>
            <w:r w:rsidR="008304FF">
              <w:rPr>
                <w:rFonts w:asciiTheme="majorHAnsi" w:hAnsiTheme="majorHAnsi" w:cs="Noteworthy Bold"/>
              </w:rPr>
              <w:t xml:space="preserve"> et quand </w:t>
            </w:r>
            <w:r w:rsidRPr="00896175">
              <w:rPr>
                <w:rFonts w:asciiTheme="majorHAnsi" w:hAnsiTheme="majorHAnsi" w:cs="Noteworthy Bold"/>
              </w:rPr>
              <w:t>les notes doivent-elles être transmises</w:t>
            </w:r>
            <w:r w:rsidR="00777AD1" w:rsidRPr="00896175">
              <w:rPr>
                <w:rFonts w:asciiTheme="majorHAnsi" w:hAnsiTheme="majorHAnsi" w:cs="Noteworthy Bold"/>
              </w:rPr>
              <w:t> </w:t>
            </w:r>
            <w:r w:rsidRPr="00896175">
              <w:rPr>
                <w:rFonts w:asciiTheme="majorHAnsi" w:hAnsiTheme="majorHAnsi" w:cs="Noteworthy Bold"/>
              </w:rPr>
              <w:t>?</w:t>
            </w:r>
          </w:p>
        </w:tc>
        <w:tc>
          <w:tcPr>
            <w:tcW w:w="4603" w:type="dxa"/>
          </w:tcPr>
          <w:p w:rsidR="004368B9" w:rsidRPr="00896175" w:rsidRDefault="00777AD1" w:rsidP="00777AD1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-Elles ne peuvent pas être transmises directement aux candidats</w:t>
            </w:r>
            <w:r w:rsidR="004368B9" w:rsidRPr="00896175">
              <w:rPr>
                <w:rFonts w:asciiTheme="majorHAnsi" w:hAnsiTheme="majorHAnsi" w:cs="Noteworthy Bold"/>
              </w:rPr>
              <w:t>, ni être intégrées à leur moyenne</w:t>
            </w:r>
            <w:r w:rsidRPr="00896175">
              <w:rPr>
                <w:rFonts w:asciiTheme="majorHAnsi" w:hAnsiTheme="majorHAnsi" w:cs="Noteworthy Bold"/>
              </w:rPr>
              <w:t xml:space="preserve">. </w:t>
            </w:r>
          </w:p>
          <w:p w:rsidR="00B03984" w:rsidRPr="00896175" w:rsidRDefault="004368B9" w:rsidP="004368B9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 Comme pour les autres épreuves, u</w:t>
            </w:r>
            <w:r w:rsidR="00777AD1" w:rsidRPr="00896175">
              <w:rPr>
                <w:rFonts w:asciiTheme="majorHAnsi" w:hAnsiTheme="majorHAnsi" w:cs="Noteworthy Bold"/>
              </w:rPr>
              <w:t xml:space="preserve">n </w:t>
            </w:r>
            <w:r w:rsidRPr="00896175">
              <w:rPr>
                <w:rFonts w:asciiTheme="majorHAnsi" w:hAnsiTheme="majorHAnsi" w:cs="Noteworthy Bold"/>
              </w:rPr>
              <w:t>bordereau de report de note</w:t>
            </w:r>
            <w:r w:rsidR="00777AD1" w:rsidRPr="00896175">
              <w:rPr>
                <w:rFonts w:asciiTheme="majorHAnsi" w:hAnsiTheme="majorHAnsi" w:cs="Noteworthy Bold"/>
              </w:rPr>
              <w:t xml:space="preserve"> sera </w:t>
            </w:r>
            <w:r w:rsidRPr="00896175">
              <w:rPr>
                <w:rFonts w:asciiTheme="majorHAnsi" w:hAnsiTheme="majorHAnsi" w:cs="Noteworthy Bold"/>
              </w:rPr>
              <w:t>en</w:t>
            </w:r>
            <w:r w:rsidR="004D2018" w:rsidRPr="00896175">
              <w:rPr>
                <w:rFonts w:asciiTheme="majorHAnsi" w:hAnsiTheme="majorHAnsi" w:cs="Noteworthy Bold"/>
              </w:rPr>
              <w:t>v</w:t>
            </w:r>
            <w:r w:rsidRPr="00896175">
              <w:rPr>
                <w:rFonts w:asciiTheme="majorHAnsi" w:hAnsiTheme="majorHAnsi" w:cs="Noteworthy Bold"/>
              </w:rPr>
              <w:t>oyé par le SIEC, en terminale, au moment où le candidat se présentera Baccalauréat professionnel.</w:t>
            </w:r>
          </w:p>
        </w:tc>
      </w:tr>
      <w:tr w:rsidR="005A34A2" w:rsidTr="00896175">
        <w:trPr>
          <w:trHeight w:val="1813"/>
        </w:trPr>
        <w:tc>
          <w:tcPr>
            <w:tcW w:w="4603" w:type="dxa"/>
          </w:tcPr>
          <w:p w:rsidR="005A34A2" w:rsidRPr="00896175" w:rsidRDefault="00B03984" w:rsidP="005A34A2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Quelles</w:t>
            </w:r>
            <w:r w:rsidR="005A34A2" w:rsidRPr="00896175">
              <w:rPr>
                <w:rFonts w:asciiTheme="majorHAnsi" w:hAnsiTheme="majorHAnsi" w:cs="Noteworthy Bold"/>
              </w:rPr>
              <w:t xml:space="preserve"> pièces doivent être conservées par l’éta</w:t>
            </w:r>
            <w:r w:rsidR="000736BC" w:rsidRPr="00896175">
              <w:rPr>
                <w:rFonts w:asciiTheme="majorHAnsi" w:hAnsiTheme="majorHAnsi" w:cs="Noteworthy Bold"/>
              </w:rPr>
              <w:t>b</w:t>
            </w:r>
            <w:r w:rsidR="005A34A2" w:rsidRPr="00896175">
              <w:rPr>
                <w:rFonts w:asciiTheme="majorHAnsi" w:hAnsiTheme="majorHAnsi" w:cs="Noteworthy Bold"/>
              </w:rPr>
              <w:t>lissement</w:t>
            </w:r>
            <w:r w:rsidR="000736BC" w:rsidRPr="00896175">
              <w:rPr>
                <w:rFonts w:asciiTheme="majorHAnsi" w:hAnsiTheme="majorHAnsi" w:cs="Noteworthy Bold"/>
              </w:rPr>
              <w:t> ?</w:t>
            </w:r>
          </w:p>
        </w:tc>
        <w:tc>
          <w:tcPr>
            <w:tcW w:w="4603" w:type="dxa"/>
          </w:tcPr>
          <w:p w:rsidR="004D2018" w:rsidRPr="00896175" w:rsidRDefault="004D2018" w:rsidP="004D2018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-La page de garde académique (disponible sur les sites disciplinaires).</w:t>
            </w:r>
          </w:p>
          <w:p w:rsidR="004D2018" w:rsidRPr="00896175" w:rsidRDefault="004D2018" w:rsidP="004D2018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 La grille d’évaluation de la partie 1</w:t>
            </w:r>
            <w:r w:rsidR="00535C8C" w:rsidRPr="00896175">
              <w:rPr>
                <w:rFonts w:asciiTheme="majorHAnsi" w:hAnsiTheme="majorHAnsi" w:cs="Noteworthy Bold"/>
              </w:rPr>
              <w:t>, en français ainsi que celle</w:t>
            </w:r>
            <w:r w:rsidRPr="00896175">
              <w:rPr>
                <w:rFonts w:asciiTheme="majorHAnsi" w:hAnsiTheme="majorHAnsi" w:cs="Noteworthy Bold"/>
              </w:rPr>
              <w:t xml:space="preserve"> traduite dans la langue du pays d’</w:t>
            </w:r>
            <w:r w:rsidR="00535C8C" w:rsidRPr="00896175">
              <w:rPr>
                <w:rFonts w:asciiTheme="majorHAnsi" w:hAnsiTheme="majorHAnsi" w:cs="Noteworthy Bold"/>
              </w:rPr>
              <w:t>accueil.</w:t>
            </w:r>
          </w:p>
          <w:p w:rsidR="005A34A2" w:rsidRPr="00896175" w:rsidRDefault="00535C8C" w:rsidP="00896175">
            <w:pPr>
              <w:rPr>
                <w:rFonts w:asciiTheme="majorHAnsi" w:hAnsiTheme="majorHAnsi" w:cs="Noteworthy Bold"/>
              </w:rPr>
            </w:pPr>
            <w:r w:rsidRPr="00896175">
              <w:rPr>
                <w:rFonts w:asciiTheme="majorHAnsi" w:hAnsiTheme="majorHAnsi" w:cs="Noteworthy Bold"/>
              </w:rPr>
              <w:t>-La grille d’évaluation de la partie 2.</w:t>
            </w:r>
          </w:p>
        </w:tc>
      </w:tr>
    </w:tbl>
    <w:p w:rsidR="004D3CE1" w:rsidRPr="004D3CE1" w:rsidRDefault="00565CC6" w:rsidP="004D3CE1">
      <w:pPr>
        <w:rPr>
          <w:rFonts w:asciiTheme="majorHAnsi" w:hAnsiTheme="majorHAnsi" w:cs="Noteworthy Bold"/>
        </w:rPr>
      </w:pPr>
      <w:r>
        <w:rPr>
          <w:rFonts w:asciiTheme="majorHAnsi" w:hAnsiTheme="majorHAnsi" w:cs="Noteworthy Bold"/>
        </w:rPr>
        <w:t xml:space="preserve"> </w:t>
      </w:r>
    </w:p>
    <w:sectPr w:rsidR="004D3CE1" w:rsidRPr="004D3CE1" w:rsidSect="0078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E5" w:rsidRDefault="00B272E5" w:rsidP="004D3CE1">
      <w:r>
        <w:separator/>
      </w:r>
    </w:p>
  </w:endnote>
  <w:endnote w:type="continuationSeparator" w:id="0">
    <w:p w:rsidR="00B272E5" w:rsidRDefault="00B272E5" w:rsidP="004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B272E5" w:rsidTr="00565CC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272E5" w:rsidRDefault="000B6C7D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99A7E1AA1E1CE4AB33990195577EFB9"/>
              </w:placeholder>
              <w:temporary/>
              <w:showingPlcHdr/>
            </w:sdtPr>
            <w:sdtEndPr/>
            <w:sdtContent>
              <w:r w:rsidR="00B272E5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272E5" w:rsidTr="00565CC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272E5" w:rsidRDefault="00B272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272E5" w:rsidRDefault="00B272E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016"/>
      <w:gridCol w:w="5249"/>
      <w:gridCol w:w="2017"/>
    </w:tblGrid>
    <w:tr w:rsidR="000B6C7D" w:rsidTr="00565CC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272E5" w:rsidRDefault="000B6C7D" w:rsidP="004D3CE1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P.RAMBAUD IEN Lettres anglais Académie de </w:t>
          </w:r>
          <w:r>
            <w:rPr>
              <w:rFonts w:ascii="Cambria" w:hAnsi="Cambria"/>
              <w:color w:val="365F91" w:themeColor="accent1" w:themeShade="BF"/>
            </w:rPr>
            <w:t>Poitiers</w:t>
          </w:r>
          <w:bookmarkStart w:id="0" w:name="_GoBack"/>
          <w:bookmarkEnd w:id="0"/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B6C7D" w:rsidTr="00565CC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272E5" w:rsidRDefault="00B272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272E5" w:rsidRDefault="00B272E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272E5" w:rsidRDefault="00B272E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D" w:rsidRDefault="000B6C7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E5" w:rsidRDefault="00B272E5" w:rsidP="004D3CE1">
      <w:r>
        <w:separator/>
      </w:r>
    </w:p>
  </w:footnote>
  <w:footnote w:type="continuationSeparator" w:id="0">
    <w:p w:rsidR="00B272E5" w:rsidRDefault="00B272E5" w:rsidP="004D3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D" w:rsidRDefault="000B6C7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D" w:rsidRDefault="000B6C7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D" w:rsidRDefault="000B6C7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05"/>
    <w:multiLevelType w:val="hybridMultilevel"/>
    <w:tmpl w:val="4822CF04"/>
    <w:lvl w:ilvl="0" w:tplc="4142E61C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A9F"/>
    <w:multiLevelType w:val="hybridMultilevel"/>
    <w:tmpl w:val="2B7A4A5E"/>
    <w:lvl w:ilvl="0" w:tplc="CC7679F4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13B4"/>
    <w:multiLevelType w:val="hybridMultilevel"/>
    <w:tmpl w:val="0E760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5409"/>
    <w:multiLevelType w:val="hybridMultilevel"/>
    <w:tmpl w:val="BEB493D4"/>
    <w:lvl w:ilvl="0" w:tplc="8962E752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44C9"/>
    <w:multiLevelType w:val="hybridMultilevel"/>
    <w:tmpl w:val="D7BCE9C8"/>
    <w:lvl w:ilvl="0" w:tplc="99946DFC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86E0F"/>
    <w:multiLevelType w:val="hybridMultilevel"/>
    <w:tmpl w:val="37040B10"/>
    <w:lvl w:ilvl="0" w:tplc="BDB437CE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51075"/>
    <w:multiLevelType w:val="hybridMultilevel"/>
    <w:tmpl w:val="5060F53E"/>
    <w:lvl w:ilvl="0" w:tplc="E7D0BC96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94704"/>
    <w:multiLevelType w:val="hybridMultilevel"/>
    <w:tmpl w:val="70BC3574"/>
    <w:lvl w:ilvl="0" w:tplc="6DA6D68C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492"/>
    <w:multiLevelType w:val="hybridMultilevel"/>
    <w:tmpl w:val="1C3694BA"/>
    <w:lvl w:ilvl="0" w:tplc="A7B42822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26A2"/>
    <w:multiLevelType w:val="hybridMultilevel"/>
    <w:tmpl w:val="AE8267DA"/>
    <w:lvl w:ilvl="0" w:tplc="8150816C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B037C"/>
    <w:multiLevelType w:val="hybridMultilevel"/>
    <w:tmpl w:val="627466B0"/>
    <w:lvl w:ilvl="0" w:tplc="C9FE8E08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5693"/>
    <w:multiLevelType w:val="hybridMultilevel"/>
    <w:tmpl w:val="2E3CFB4C"/>
    <w:lvl w:ilvl="0" w:tplc="A798FAB8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0BCE"/>
    <w:multiLevelType w:val="hybridMultilevel"/>
    <w:tmpl w:val="69541930"/>
    <w:lvl w:ilvl="0" w:tplc="4CEEC4B2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6BF"/>
    <w:multiLevelType w:val="hybridMultilevel"/>
    <w:tmpl w:val="62606950"/>
    <w:lvl w:ilvl="0" w:tplc="FC526042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1"/>
    <w:rsid w:val="00037FAF"/>
    <w:rsid w:val="000656BA"/>
    <w:rsid w:val="000736BC"/>
    <w:rsid w:val="00090E12"/>
    <w:rsid w:val="000B6C7D"/>
    <w:rsid w:val="00154275"/>
    <w:rsid w:val="00174777"/>
    <w:rsid w:val="001D6F5A"/>
    <w:rsid w:val="0027573E"/>
    <w:rsid w:val="002B1C69"/>
    <w:rsid w:val="00391A00"/>
    <w:rsid w:val="004368B9"/>
    <w:rsid w:val="004D2018"/>
    <w:rsid w:val="004D3CE1"/>
    <w:rsid w:val="004E380B"/>
    <w:rsid w:val="00535C8C"/>
    <w:rsid w:val="00543190"/>
    <w:rsid w:val="00565CC6"/>
    <w:rsid w:val="005A34A2"/>
    <w:rsid w:val="006932E5"/>
    <w:rsid w:val="006F66D4"/>
    <w:rsid w:val="007330A4"/>
    <w:rsid w:val="00777AD1"/>
    <w:rsid w:val="00786C6A"/>
    <w:rsid w:val="007C3C5E"/>
    <w:rsid w:val="008304FF"/>
    <w:rsid w:val="00896175"/>
    <w:rsid w:val="008B11AF"/>
    <w:rsid w:val="009A443F"/>
    <w:rsid w:val="00AD0A29"/>
    <w:rsid w:val="00AD56EF"/>
    <w:rsid w:val="00B03984"/>
    <w:rsid w:val="00B272E5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CE1"/>
  </w:style>
  <w:style w:type="paragraph" w:styleId="Pieddepage">
    <w:name w:val="footer"/>
    <w:basedOn w:val="Normal"/>
    <w:link w:val="PieddepageCar"/>
    <w:uiPriority w:val="99"/>
    <w:unhideWhenUsed/>
    <w:rsid w:val="004D3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CE1"/>
  </w:style>
  <w:style w:type="paragraph" w:styleId="Sansinterligne">
    <w:name w:val="No Spacing"/>
    <w:link w:val="SansinterligneCar"/>
    <w:qFormat/>
    <w:rsid w:val="004D3CE1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D3CE1"/>
    <w:rPr>
      <w:rFonts w:ascii="PMingLiU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D3CE1"/>
    <w:pPr>
      <w:ind w:left="720"/>
      <w:contextualSpacing/>
    </w:pPr>
  </w:style>
  <w:style w:type="table" w:styleId="Grille">
    <w:name w:val="Table Grid"/>
    <w:basedOn w:val="TableauNormal"/>
    <w:uiPriority w:val="59"/>
    <w:rsid w:val="005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CE1"/>
  </w:style>
  <w:style w:type="paragraph" w:styleId="Pieddepage">
    <w:name w:val="footer"/>
    <w:basedOn w:val="Normal"/>
    <w:link w:val="PieddepageCar"/>
    <w:uiPriority w:val="99"/>
    <w:unhideWhenUsed/>
    <w:rsid w:val="004D3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CE1"/>
  </w:style>
  <w:style w:type="paragraph" w:styleId="Sansinterligne">
    <w:name w:val="No Spacing"/>
    <w:link w:val="SansinterligneCar"/>
    <w:qFormat/>
    <w:rsid w:val="004D3CE1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D3CE1"/>
    <w:rPr>
      <w:rFonts w:ascii="PMingLiU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D3CE1"/>
    <w:pPr>
      <w:ind w:left="720"/>
      <w:contextualSpacing/>
    </w:pPr>
  </w:style>
  <w:style w:type="table" w:styleId="Grille">
    <w:name w:val="Table Grid"/>
    <w:basedOn w:val="TableauNormal"/>
    <w:uiPriority w:val="59"/>
    <w:rsid w:val="005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9A7E1AA1E1CE4AB33990195577E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74E56-ED37-F64C-81D7-AE3250EB1F36}"/>
      </w:docPartPr>
      <w:docPartBody>
        <w:p w:rsidR="00755B9F" w:rsidRDefault="00755B9F" w:rsidP="00755B9F">
          <w:pPr>
            <w:pStyle w:val="199A7E1AA1E1CE4AB33990195577EFB9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B9F"/>
    <w:rsid w:val="00755B9F"/>
    <w:rsid w:val="00B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9A7E1AA1E1CE4AB33990195577EFB9">
    <w:name w:val="199A7E1AA1E1CE4AB33990195577EFB9"/>
    <w:rsid w:val="00755B9F"/>
  </w:style>
  <w:style w:type="paragraph" w:customStyle="1" w:styleId="A7F4C62F6D84004B898797564B7E39E1">
    <w:name w:val="A7F4C62F6D84004B898797564B7E39E1"/>
    <w:rsid w:val="00755B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C9831-9556-4D4E-AF07-9506CF9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Roquessalane</dc:creator>
  <cp:keywords/>
  <dc:description/>
  <cp:lastModifiedBy>Phil</cp:lastModifiedBy>
  <cp:revision>2</cp:revision>
  <dcterms:created xsi:type="dcterms:W3CDTF">2015-09-01T08:35:00Z</dcterms:created>
  <dcterms:modified xsi:type="dcterms:W3CDTF">2015-09-01T08:35:00Z</dcterms:modified>
</cp:coreProperties>
</file>