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sdetexte"/>
        <w:pBdr/>
        <w:jc w:val="left"/>
        <w:rPr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I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l existe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deux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catégories de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sources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d’énergies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bien distinctes.</w:t>
      </w:r>
    </w:p>
    <w:p>
      <w:pPr>
        <w:pStyle w:val="Corpsdetexte"/>
        <w:pBdr/>
        <w:jc w:val="left"/>
        <w:rPr>
          <w:rFonts w:ascii="Verdana" w:hAnsi="Verdana"/>
          <w:b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sdetexte"/>
        <w:pBdr/>
        <w:jc w:val="left"/>
        <w:rPr/>
      </w:pP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Les sources d’énergies non renouvelables </w:t>
      </w: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(ou fossiles)</w:t>
      </w: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</w:p>
    <w:p>
      <w:pPr>
        <w:pStyle w:val="Corpsdetexte"/>
        <w:pBdr/>
        <w:jc w:val="left"/>
        <w:rPr>
          <w:rFonts w:ascii="Verdana" w:hAnsi="Verdan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Les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sources d’énergies non renouvelables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sont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toutes les ressources qui ne se recréent pas naturellement ou trop lentement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à l’échelle humaine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.</w:t>
      </w:r>
    </w:p>
    <w:p>
      <w:pPr>
        <w:pStyle w:val="Corpsdetexte"/>
        <w:pBdr/>
        <w:jc w:val="left"/>
        <w:rPr>
          <w:rFonts w:ascii="Verdana" w:hAnsi="Verdan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2551"/>
        <w:gridCol w:w="2552"/>
      </w:tblGrid>
      <w:tr>
        <w:trPr/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Le charbon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Le gaz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Le pétrole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L'uranium 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80135" cy="1080135"/>
                  <wp:effectExtent l="0" t="0" r="0" b="0"/>
                  <wp:wrapSquare wrapText="largest"/>
                  <wp:docPr id="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37465</wp:posOffset>
                  </wp:positionV>
                  <wp:extent cx="720090" cy="1043940"/>
                  <wp:effectExtent l="0" t="0" r="0" b="0"/>
                  <wp:wrapSquare wrapText="largest"/>
                  <wp:docPr id="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100330</wp:posOffset>
                  </wp:positionV>
                  <wp:extent cx="720090" cy="97917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57785</wp:posOffset>
                  </wp:positionV>
                  <wp:extent cx="1080135" cy="1054735"/>
                  <wp:effectExtent l="0" t="0" r="0" b="0"/>
                  <wp:wrapSquare wrapText="largest"/>
                  <wp:docPr id="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orpsdetexte"/>
        <w:pBdr/>
        <w:jc w:val="left"/>
        <w:rPr>
          <w:rFonts w:ascii="Verdana" w:hAnsi="Verdana"/>
          <w:b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sdetexte"/>
        <w:pBdr/>
        <w:jc w:val="left"/>
        <w:rPr>
          <w:rFonts w:ascii="Verdana" w:hAnsi="Verdana"/>
          <w:b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Les sources d’énergies renouvelables</w:t>
        <w:br/>
      </w:r>
    </w:p>
    <w:p>
      <w:pPr>
        <w:pStyle w:val="Corpsdetexte"/>
        <w:pBdr/>
        <w:jc w:val="left"/>
        <w:rPr>
          <w:rFonts w:ascii="Verdana" w:hAnsi="Verdan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Les sources d’énergies renouvelables sont celles qui se recréent naturellement,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ces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ressources ne s’épuiseront pas.</w:t>
      </w:r>
    </w:p>
    <w:p>
      <w:pPr>
        <w:pStyle w:val="Corpsdetexte"/>
        <w:pBdr/>
        <w:jc w:val="left"/>
        <w:rPr>
          <w:rFonts w:ascii="Verdana" w:hAnsi="Verdan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2551"/>
        <w:gridCol w:w="2552"/>
      </w:tblGrid>
      <w:tr>
        <w:trPr/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pBdr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Géothermie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Éolienne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Solaire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Biomasse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78840" cy="908050"/>
                  <wp:effectExtent l="0" t="0" r="0" b="0"/>
                  <wp:wrapSquare wrapText="largest"/>
                  <wp:docPr id="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80135" cy="84582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80135" cy="74549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89635" cy="889635"/>
                  <wp:effectExtent l="0" t="0" r="0" b="0"/>
                  <wp:wrapSquare wrapText="largest"/>
                  <wp:docPr id="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orpsdetexte"/>
        <w:pBdr/>
        <w:jc w:val="left"/>
        <w:rPr>
          <w:rFonts w:ascii="Verdana" w:hAnsi="Verdan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20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51"/>
        <w:gridCol w:w="2551"/>
        <w:gridCol w:w="2551"/>
        <w:gridCol w:w="2552"/>
      </w:tblGrid>
      <w:tr>
        <w:trPr/>
        <w:tc>
          <w:tcPr>
            <w:tcW w:w="10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Eau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Hydrolienne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Marémotrice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Barrage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Houlomotrice</w:t>
            </w:r>
          </w:p>
        </w:tc>
      </w:tr>
      <w:tr>
        <w:trPr/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4859655</wp:posOffset>
                  </wp:positionH>
                  <wp:positionV relativeFrom="paragraph">
                    <wp:posOffset>290830</wp:posOffset>
                  </wp:positionV>
                  <wp:extent cx="1550670" cy="628015"/>
                  <wp:effectExtent l="0" t="0" r="0" b="0"/>
                  <wp:wrapSquare wrapText="largest"/>
                  <wp:docPr id="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100965</wp:posOffset>
                  </wp:positionV>
                  <wp:extent cx="1080135" cy="93599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179705</wp:posOffset>
                  </wp:positionV>
                  <wp:extent cx="1080135" cy="806450"/>
                  <wp:effectExtent l="0" t="0" r="0" b="0"/>
                  <wp:wrapSquare wrapText="largest"/>
                  <wp:docPr id="1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115570</wp:posOffset>
                  </wp:positionV>
                  <wp:extent cx="1080135" cy="745490"/>
                  <wp:effectExtent l="0" t="0" r="0" b="0"/>
                  <wp:wrapSquare wrapText="largest"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</w:tbl>
    <w:p>
      <w:pPr>
        <w:pStyle w:val="Corpsdetexte"/>
        <w:pBdr/>
        <w:spacing w:before="0" w:after="120"/>
        <w:jc w:val="left"/>
        <w:rPr>
          <w:rFonts w:ascii="Verdana" w:hAnsi="Verdana" w:eastAsia="SimSun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eastAsia="SimSun" w:cs="Arial" w:ascii="Verdana" w:hAnsi="Verdana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none"/>
        </w:rPr>
      </w:r>
    </w:p>
    <w:sectPr>
      <w:headerReference w:type="default" r:id="rId14"/>
      <w:footerReference w:type="default" r:id="rId15"/>
      <w:type w:val="nextPage"/>
      <w:pgSz w:w="11906" w:h="16838"/>
      <w:pgMar w:left="1134" w:right="567" w:header="567" w:top="3194" w:footer="567" w:bottom="1011" w:gutter="0"/>
      <w:pgNumType w:fmt="decimal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1"/>
      <w:rPr/>
    </w:pPr>
    <w:r>
      <w:rPr>
        <w:rFonts w:cs="Arial" w:ascii="Arial" w:hAnsi="Arial"/>
        <w:b/>
        <w:bCs/>
        <w:color w:val="999999"/>
        <w:sz w:val="14"/>
        <w:szCs w:val="14"/>
      </w:rPr>
      <w:t>MSOST_1.</w:t>
    </w:r>
    <w:r>
      <w:rPr>
        <w:rFonts w:cs="Arial" w:ascii="Arial" w:hAnsi="Arial"/>
        <w:b/>
        <w:bCs/>
        <w:color w:val="999999"/>
        <w:sz w:val="14"/>
        <w:szCs w:val="14"/>
      </w:rPr>
      <w:t>4</w:t>
    </w:r>
    <w:r>
      <w:rPr>
        <w:rFonts w:cs="Arial" w:ascii="Arial" w:hAnsi="Arial"/>
        <w:b/>
        <w:bCs/>
        <w:color w:val="999999"/>
        <w:sz w:val="14"/>
        <w:szCs w:val="14"/>
      </w:rPr>
      <w:t>.</w:t>
    </w:r>
    <w:r>
      <w:rPr>
        <w:rFonts w:cs="Arial" w:ascii="Arial" w:hAnsi="Arial"/>
        <w:b/>
        <w:bCs/>
        <w:color w:val="999999"/>
        <w:sz w:val="14"/>
        <w:szCs w:val="14"/>
      </w:rPr>
      <w:t>2</w:t>
    </w:r>
    <w:r>
      <w:rPr>
        <w:rFonts w:cs="Arial" w:ascii="Arial" w:hAnsi="Arial"/>
        <w:b/>
        <w:bCs/>
        <w:color w:val="999999"/>
        <w:sz w:val="14"/>
        <w:szCs w:val="14"/>
      </w:rPr>
      <w:t>_Niv1</w:t>
      <w:tab/>
    </w:r>
    <w:r>
      <w:rPr>
        <w:rFonts w:cs="Arial" w:ascii="Arial" w:hAnsi="Arial"/>
        <w:color w:val="999999"/>
        <w:sz w:val="14"/>
        <w:szCs w:val="14"/>
      </w:rPr>
      <w:t xml:space="preserve">La </w:t>
    </w:r>
    <w:r>
      <w:rPr>
        <w:rFonts w:cs="Arial" w:ascii="Arial" w:hAnsi="Arial"/>
        <w:b/>
        <w:bCs/>
        <w:color w:val="999999"/>
        <w:sz w:val="14"/>
        <w:szCs w:val="14"/>
      </w:rPr>
      <w:t>M</w:t>
    </w:r>
    <w:r>
      <w:rPr>
        <w:rFonts w:cs="Arial" w:ascii="Arial" w:hAnsi="Arial"/>
        <w:color w:val="999999"/>
        <w:sz w:val="14"/>
        <w:szCs w:val="14"/>
      </w:rPr>
      <w:t xml:space="preserve">odélisation et la </w:t>
    </w:r>
    <w:r>
      <w:rPr>
        <w:rFonts w:cs="Arial" w:ascii="Arial" w:hAnsi="Arial"/>
        <w:b/>
        <w:color w:val="999999"/>
        <w:sz w:val="14"/>
        <w:szCs w:val="14"/>
      </w:rPr>
      <w:t>S</w:t>
    </w:r>
    <w:r>
      <w:rPr>
        <w:rFonts w:cs="Arial" w:ascii="Arial" w:hAnsi="Arial"/>
        <w:color w:val="999999"/>
        <w:sz w:val="14"/>
        <w:szCs w:val="14"/>
      </w:rPr>
      <w:t xml:space="preserve">imulation des </w:t>
    </w:r>
    <w:r>
      <w:rPr>
        <w:rFonts w:cs="Arial" w:ascii="Arial" w:hAnsi="Arial"/>
        <w:b/>
        <w:color w:val="999999"/>
        <w:sz w:val="14"/>
        <w:szCs w:val="14"/>
      </w:rPr>
      <w:t>O</w:t>
    </w:r>
    <w:r>
      <w:rPr>
        <w:rFonts w:cs="Arial" w:ascii="Arial" w:hAnsi="Arial"/>
        <w:color w:val="999999"/>
        <w:sz w:val="14"/>
        <w:szCs w:val="14"/>
      </w:rPr>
      <w:t xml:space="preserve">bjets des </w:t>
    </w:r>
    <w:r>
      <w:rPr>
        <w:rFonts w:cs="Arial" w:ascii="Arial" w:hAnsi="Arial"/>
        <w:b/>
        <w:color w:val="999999"/>
        <w:sz w:val="14"/>
        <w:szCs w:val="14"/>
      </w:rPr>
      <w:t>S</w:t>
    </w:r>
    <w:r>
      <w:rPr>
        <w:rFonts w:cs="Arial" w:ascii="Arial" w:hAnsi="Arial"/>
        <w:color w:val="999999"/>
        <w:sz w:val="14"/>
        <w:szCs w:val="14"/>
      </w:rPr>
      <w:t xml:space="preserve">ystèmes </w:t>
    </w:r>
    <w:r>
      <w:rPr>
        <w:rFonts w:cs="Arial" w:ascii="Arial" w:hAnsi="Arial"/>
        <w:b/>
        <w:bCs/>
        <w:color w:val="999999"/>
        <w:sz w:val="14"/>
        <w:szCs w:val="14"/>
      </w:rPr>
      <w:t>T</w:t>
    </w:r>
    <w:r>
      <w:rPr>
        <w:rFonts w:cs="Arial" w:ascii="Arial" w:hAnsi="Arial"/>
        <w:color w:val="999999"/>
        <w:sz w:val="14"/>
        <w:szCs w:val="14"/>
      </w:rPr>
      <w:t>echniques</w:t>
      <w:tab/>
    </w:r>
    <w:r>
      <w:rPr>
        <w:rFonts w:cs="Arial" w:ascii="Arial" w:hAnsi="Arial"/>
        <w:b/>
        <w:bCs/>
        <w:color w:val="999999"/>
        <w:sz w:val="14"/>
        <w:szCs w:val="14"/>
      </w:rPr>
      <w:t xml:space="preserve">Page </w:t>
    </w:r>
    <w:r>
      <w:rPr>
        <w:rFonts w:cs="Arial"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cs="Arial" w:ascii="Arial" w:hAnsi="Arial"/>
      </w:rPr>
      <w:instrText> PAGE </w:instrText>
    </w:r>
    <w:r>
      <w:rPr>
        <w:sz w:val="14"/>
        <w:b/>
        <w:szCs w:val="14"/>
        <w:bCs/>
        <w:rFonts w:cs="Arial" w:ascii="Arial" w:hAnsi="Arial"/>
      </w:rPr>
      <w:fldChar w:fldCharType="separate"/>
    </w:r>
    <w:r>
      <w:rPr>
        <w:sz w:val="14"/>
        <w:b/>
        <w:szCs w:val="14"/>
        <w:bCs/>
        <w:rFonts w:cs="Arial" w:ascii="Arial" w:hAnsi="Arial"/>
      </w:rPr>
      <w:t>1</w:t>
    </w:r>
    <w:r>
      <w:rPr>
        <w:sz w:val="14"/>
        <w:b/>
        <w:szCs w:val="14"/>
        <w:bCs/>
        <w:rFonts w:cs="Arial" w:ascii="Arial" w:hAnsi="Arial"/>
      </w:rPr>
      <w:fldChar w:fldCharType="end"/>
    </w:r>
    <w:r>
      <w:rPr>
        <w:rFonts w:cs="Arial" w:ascii="Arial" w:hAnsi="Arial"/>
        <w:b/>
        <w:bCs/>
        <w:color w:val="999999"/>
        <w:sz w:val="14"/>
        <w:szCs w:val="14"/>
      </w:rPr>
      <w:t>/</w:t>
    </w:r>
    <w:r>
      <w:rPr>
        <w:rFonts w:cs="Arial"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cs="Arial" w:ascii="Arial" w:hAnsi="Arial"/>
      </w:rPr>
      <w:instrText> NUMPAGES </w:instrText>
    </w:r>
    <w:r>
      <w:rPr>
        <w:sz w:val="14"/>
        <w:b/>
        <w:szCs w:val="14"/>
        <w:bCs/>
        <w:rFonts w:cs="Arial" w:ascii="Arial" w:hAnsi="Arial"/>
      </w:rPr>
      <w:fldChar w:fldCharType="separate"/>
    </w:r>
    <w:r>
      <w:rPr>
        <w:sz w:val="14"/>
        <w:b/>
        <w:szCs w:val="14"/>
        <w:bCs/>
        <w:rFonts w:cs="Arial" w:ascii="Arial" w:hAnsi="Arial"/>
      </w:rPr>
      <w:t>1</w:t>
    </w:r>
    <w:r>
      <w:rPr>
        <w:sz w:val="14"/>
        <w:b/>
        <w:szCs w:val="14"/>
        <w:bCs/>
        <w:rFonts w:cs="Arial" w:ascii="Arial" w:hAnsi="Arial"/>
      </w:rPr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1"/>
      <w:rPr>
        <w:rFonts w:ascii="Arial" w:hAnsi="Arial" w:cs="Arial"/>
        <w:b/>
        <w:b/>
        <w:bCs/>
        <w:sz w:val="28"/>
        <w:szCs w:val="28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2694940</wp:posOffset>
          </wp:positionH>
          <wp:positionV relativeFrom="paragraph">
            <wp:posOffset>-277495</wp:posOffset>
          </wp:positionV>
          <wp:extent cx="1136015" cy="608330"/>
          <wp:effectExtent l="0" t="0" r="0" b="0"/>
          <wp:wrapNone/>
          <wp:docPr id="1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60" r="-32" b="-60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28"/>
        <w:szCs w:val="28"/>
      </w:rPr>
      <w:t>C</w:t>
    </w:r>
    <w:r>
      <w:rPr>
        <w:rFonts w:cs="Arial" w:ascii="Arial" w:hAnsi="Arial"/>
        <w:b/>
        <w:bCs/>
        <w:sz w:val="28"/>
        <w:szCs w:val="28"/>
      </w:rPr>
      <w:t>ycle 4 Technologie</w:t>
      <w:tab/>
      <w:tab/>
      <w:t xml:space="preserve"> MSOST 1.</w:t>
    </w:r>
    <w:r>
      <w:rPr>
        <w:rFonts w:cs="Arial" w:ascii="Arial" w:hAnsi="Arial"/>
        <w:b/>
        <w:bCs/>
        <w:sz w:val="28"/>
        <w:szCs w:val="28"/>
      </w:rPr>
      <w:t>4</w:t>
    </w:r>
    <w:r>
      <w:rPr>
        <w:rFonts w:cs="Arial" w:ascii="Arial" w:hAnsi="Arial"/>
        <w:b/>
        <w:bCs/>
        <w:sz w:val="28"/>
        <w:szCs w:val="28"/>
      </w:rPr>
      <w:t>.</w:t>
    </w:r>
    <w:r>
      <w:rPr>
        <w:rFonts w:cs="Arial" w:ascii="Arial" w:hAnsi="Arial"/>
        <w:b/>
        <w:bCs/>
        <w:sz w:val="28"/>
        <w:szCs w:val="28"/>
      </w:rPr>
      <w:t>2</w:t>
    </w:r>
  </w:p>
  <w:p>
    <w:pPr>
      <w:pStyle w:val="Entte1"/>
      <w:rPr>
        <w:rFonts w:ascii="Arial" w:hAnsi="Arial" w:cs="Arial"/>
        <w:b/>
        <w:b/>
        <w:bCs/>
        <w:color w:val="666666"/>
        <w:sz w:val="28"/>
        <w:szCs w:val="28"/>
      </w:rPr>
    </w:pPr>
    <w:r>
      <w:rPr>
        <w:rFonts w:cs="Arial" w:ascii="Arial" w:hAnsi="Arial"/>
        <w:b/>
        <w:bCs/>
        <w:color w:val="666666"/>
        <w:sz w:val="28"/>
        <w:szCs w:val="28"/>
      </w:rPr>
      <w:tab/>
      <w:tab/>
      <w:t>Niveau 1</w:t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>
        <w:rFonts w:ascii="Arial" w:hAnsi="Arial" w:cs="Arial"/>
        <w:b/>
        <w:b/>
        <w:bCs/>
        <w:color w:val="666666"/>
        <w:sz w:val="14"/>
        <w:szCs w:val="14"/>
      </w:rPr>
    </w:pPr>
    <w:r>
      <w:rPr>
        <w:rFonts w:cs="Arial" w:ascii="Arial" w:hAnsi="Arial"/>
        <w:b/>
        <w:bCs/>
        <w:color w:val="666666"/>
        <w:sz w:val="14"/>
        <w:szCs w:val="14"/>
      </w:rPr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jc w:val="center"/>
      <w:rPr>
        <w:rFonts w:ascii="Arial" w:hAnsi="Arial" w:cs="Arial"/>
        <w:b/>
        <w:b/>
        <w:bCs/>
        <w:color w:val="666666"/>
        <w:sz w:val="28"/>
        <w:szCs w:val="28"/>
      </w:rPr>
    </w:pPr>
    <w:r>
      <w:rPr>
        <w:rFonts w:cs="Arial" w:ascii="Arial" w:hAnsi="Arial"/>
        <w:b/>
        <w:bCs/>
        <w:color w:val="666666"/>
        <w:sz w:val="28"/>
        <w:szCs w:val="28"/>
      </w:rPr>
      <w:t>Proposition de synthèse</w:t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jc w:val="center"/>
      <w:rPr>
        <w:rFonts w:ascii="Arial" w:hAnsi="Arial" w:cs="Arial"/>
        <w:b/>
        <w:b/>
        <w:bCs/>
        <w:color w:val="666666"/>
        <w:sz w:val="14"/>
        <w:szCs w:val="14"/>
      </w:rPr>
    </w:pPr>
    <w:r>
      <w:rPr>
        <w:rFonts w:cs="Arial" w:ascii="Arial" w:hAnsi="Arial"/>
        <w:b/>
        <w:bCs/>
        <w:color w:val="666666"/>
        <w:sz w:val="14"/>
        <w:szCs w:val="14"/>
      </w:rPr>
    </w:r>
  </w:p>
  <w:p>
    <w:pPr>
      <w:pStyle w:val="Pieddepag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jc w:val="center"/>
      <w:rPr/>
    </w:pPr>
    <w:r>
      <w:rPr>
        <w:rFonts w:cs="Arial" w:ascii="Arial" w:hAnsi="Arial"/>
        <w:color w:val="666666"/>
        <w:sz w:val="24"/>
        <w:szCs w:val="24"/>
      </w:rPr>
      <w:t xml:space="preserve">La </w:t>
    </w:r>
    <w:r>
      <w:rPr>
        <w:rFonts w:cs="Arial" w:ascii="Arial" w:hAnsi="Arial"/>
        <w:b/>
        <w:bCs/>
        <w:color w:val="666666"/>
        <w:sz w:val="24"/>
        <w:szCs w:val="24"/>
      </w:rPr>
      <w:t>M</w:t>
    </w:r>
    <w:r>
      <w:rPr>
        <w:rFonts w:cs="Arial" w:ascii="Arial" w:hAnsi="Arial"/>
        <w:color w:val="666666"/>
        <w:sz w:val="24"/>
        <w:szCs w:val="24"/>
      </w:rPr>
      <w:t xml:space="preserve">odélisation et la </w:t>
    </w:r>
    <w:r>
      <w:rPr>
        <w:rFonts w:cs="Arial" w:ascii="Arial" w:hAnsi="Arial"/>
        <w:b/>
        <w:color w:val="666666"/>
        <w:sz w:val="24"/>
        <w:szCs w:val="24"/>
      </w:rPr>
      <w:t>S</w:t>
    </w:r>
    <w:r>
      <w:rPr>
        <w:rFonts w:cs="Arial" w:ascii="Arial" w:hAnsi="Arial"/>
        <w:color w:val="666666"/>
        <w:sz w:val="24"/>
        <w:szCs w:val="24"/>
      </w:rPr>
      <w:t xml:space="preserve">imulation des </w:t>
    </w:r>
    <w:r>
      <w:rPr>
        <w:rFonts w:cs="Arial" w:ascii="Arial" w:hAnsi="Arial"/>
        <w:b/>
        <w:color w:val="666666"/>
        <w:sz w:val="24"/>
        <w:szCs w:val="24"/>
      </w:rPr>
      <w:t>O</w:t>
    </w:r>
    <w:r>
      <w:rPr>
        <w:rFonts w:cs="Arial" w:ascii="Arial" w:hAnsi="Arial"/>
        <w:color w:val="666666"/>
        <w:sz w:val="24"/>
        <w:szCs w:val="24"/>
      </w:rPr>
      <w:t xml:space="preserve">bjets des </w:t>
    </w:r>
    <w:r>
      <w:rPr>
        <w:rFonts w:cs="Arial" w:ascii="Arial" w:hAnsi="Arial"/>
        <w:b/>
        <w:color w:val="666666"/>
        <w:sz w:val="24"/>
        <w:szCs w:val="24"/>
      </w:rPr>
      <w:t>S</w:t>
    </w:r>
    <w:r>
      <w:rPr>
        <w:rFonts w:cs="Arial" w:ascii="Arial" w:hAnsi="Arial"/>
        <w:color w:val="666666"/>
        <w:sz w:val="24"/>
        <w:szCs w:val="24"/>
      </w:rPr>
      <w:t xml:space="preserve">ystèmes </w:t>
    </w:r>
    <w:r>
      <w:rPr>
        <w:rFonts w:cs="Arial" w:ascii="Arial" w:hAnsi="Arial"/>
        <w:b/>
        <w:bCs/>
        <w:color w:val="666666"/>
        <w:sz w:val="24"/>
        <w:szCs w:val="24"/>
      </w:rPr>
      <w:t>T</w:t>
    </w:r>
    <w:r>
      <w:rPr>
        <w:rFonts w:cs="Arial" w:ascii="Arial" w:hAnsi="Arial"/>
        <w:color w:val="666666"/>
        <w:sz w:val="24"/>
        <w:szCs w:val="24"/>
      </w:rPr>
      <w:t>echniques</w:t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>
        <w:rFonts w:ascii="Arial" w:hAnsi="Arial" w:cs="Arial"/>
        <w:i/>
        <w:i/>
        <w:iCs/>
        <w:color w:val="666666"/>
        <w:sz w:val="14"/>
        <w:szCs w:val="14"/>
      </w:rPr>
    </w:pPr>
    <w:r>
      <w:rPr>
        <w:rFonts w:cs="Arial" w:ascii="Arial" w:hAnsi="Arial"/>
        <w:i/>
        <w:iCs/>
        <w:color w:val="666666"/>
        <w:sz w:val="14"/>
        <w:szCs w:val="14"/>
      </w:rPr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/>
    </w:pPr>
    <w:r>
      <w:rPr>
        <w:rFonts w:cs="Arial" w:ascii="Arial" w:hAnsi="Arial"/>
        <w:i/>
        <w:iCs/>
        <w:color w:val="666666"/>
        <w:sz w:val="24"/>
        <w:szCs w:val="24"/>
        <w:u w:val="single"/>
      </w:rPr>
      <w:t>Compétence</w:t>
    </w:r>
    <w:r>
      <w:rPr>
        <w:rFonts w:cs="Arial" w:ascii="Arial" w:hAnsi="Arial"/>
        <w:i/>
        <w:iCs/>
        <w:color w:val="666666"/>
        <w:sz w:val="24"/>
        <w:szCs w:val="24"/>
      </w:rPr>
      <w:t> :</w:t>
    </w:r>
    <w:r>
      <w:rPr>
        <w:rFonts w:cs="Arial" w:ascii="Arial" w:hAnsi="Arial"/>
        <w:i/>
        <w:iCs/>
        <w:color w:val="666666"/>
        <w:sz w:val="28"/>
        <w:szCs w:val="28"/>
      </w:rPr>
      <w:t xml:space="preserve"> Identifier le(s) matériau(x), les flux d’énergie et d’information sur un objet et décrire les transformations qui s’opèrent.</w:t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/>
    </w:pPr>
    <w:r>
      <w:rPr>
        <w:rFonts w:cs="Arial" w:ascii="Arial" w:hAnsi="Arial"/>
        <w:i/>
        <w:color w:val="666666"/>
        <w:sz w:val="24"/>
        <w:szCs w:val="24"/>
        <w:u w:val="single"/>
      </w:rPr>
      <w:t>Connaissance(s) associée(s) </w:t>
    </w:r>
    <w:r>
      <w:rPr>
        <w:rFonts w:cs="Arial" w:ascii="Arial" w:hAnsi="Arial"/>
        <w:color w:val="666666"/>
        <w:sz w:val="28"/>
        <w:szCs w:val="28"/>
      </w:rPr>
      <w:t>:</w:t>
    </w:r>
    <w:r>
      <w:rPr>
        <w:rFonts w:cs="Arial" w:ascii="Arial" w:hAnsi="Arial"/>
        <w:color w:val="666666"/>
        <w:sz w:val="24"/>
        <w:szCs w:val="24"/>
      </w:rPr>
      <w:t xml:space="preserve"> </w:t>
    </w:r>
    <w:r>
      <w:rPr>
        <w:rFonts w:cs="Arial" w:ascii="Arial" w:hAnsi="Arial"/>
        <w:color w:val="666666"/>
        <w:sz w:val="24"/>
        <w:szCs w:val="24"/>
      </w:rPr>
      <w:t>Sources d’énergie</w:t>
    </w:r>
    <w:r>
      <w:rPr>
        <w:rFonts w:cs="Arial" w:ascii="Arial" w:hAnsi="Arial"/>
        <w:color w:val="666666"/>
        <w:sz w:val="24"/>
        <w:szCs w:val="24"/>
      </w:rPr>
      <w:t>s</w:t>
    </w:r>
  </w:p>
  <w:p>
    <w:pPr>
      <w:pStyle w:val="Entte1"/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rPr>
        <w:rFonts w:ascii="Arial" w:hAnsi="Arial" w:cs="Arial"/>
        <w:i/>
        <w:i/>
        <w:iCs/>
        <w:color w:val="666666"/>
        <w:sz w:val="14"/>
        <w:szCs w:val="14"/>
      </w:rPr>
    </w:pPr>
    <w:r>
      <w:rPr>
        <w:rFonts w:cs="Arial" w:ascii="Arial" w:hAnsi="Arial"/>
        <w:i/>
        <w:iCs/>
        <w:color w:val="666666"/>
        <w:sz w:val="14"/>
        <w:szCs w:val="14"/>
      </w:rPr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fr-FR" w:eastAsia="zh-C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enInternet">
    <w:name w:val="Lien Internet"/>
    <w:rPr/>
  </w:style>
  <w:style w:type="character" w:styleId="EntteCar">
    <w:name w:val="En-tête Car"/>
    <w:basedOn w:val="DefaultParagraphFont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PieddepageCar">
    <w:name w:val="Pied de page Car"/>
    <w:basedOn w:val="DefaultParagraphFont"/>
    <w:qFormat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TextedebullesCar">
    <w:name w:val="Texte de bulles Car"/>
    <w:basedOn w:val="DefaultParagraphFont"/>
    <w:qFormat/>
    <w:rPr>
      <w:rFonts w:ascii="Lucida Grande" w:hAnsi="Lucida Grande" w:eastAsia="Times New Roman" w:cs="Lucida Grande"/>
      <w:sz w:val="18"/>
      <w:szCs w:val="18"/>
      <w:lang w:bidi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11">
    <w:name w:val="Titre 11"/>
    <w:basedOn w:val="Titreprincipal"/>
    <w:qFormat/>
    <w:pPr>
      <w:numPr>
        <w:ilvl w:val="0"/>
        <w:numId w:val="0"/>
      </w:numPr>
      <w:outlineLvl w:val="0"/>
    </w:pPr>
    <w:rPr/>
  </w:style>
  <w:style w:type="paragraph" w:styleId="Titreprincipal">
    <w:name w:val="Title"/>
    <w:basedOn w:val="Normal"/>
    <w:qFormat/>
    <w:pPr>
      <w:keepNext w:val="true"/>
      <w:spacing w:before="240" w:after="120"/>
    </w:pPr>
    <w:rPr/>
  </w:style>
  <w:style w:type="paragraph" w:styleId="Titre21">
    <w:name w:val="Titre 21"/>
    <w:basedOn w:val="Titreprincipal"/>
    <w:qFormat/>
    <w:pPr>
      <w:numPr>
        <w:ilvl w:val="0"/>
        <w:numId w:val="0"/>
      </w:numPr>
      <w:spacing w:before="200" w:after="120"/>
      <w:outlineLvl w:val="1"/>
    </w:pPr>
    <w:rPr/>
  </w:style>
  <w:style w:type="paragraph" w:styleId="Titre31">
    <w:name w:val="Titre 31"/>
    <w:basedOn w:val="Titreprincipal"/>
    <w:qFormat/>
    <w:pPr>
      <w:numPr>
        <w:ilvl w:val="0"/>
        <w:numId w:val="0"/>
      </w:numPr>
      <w:spacing w:before="140" w:after="120"/>
      <w:outlineLvl w:val="2"/>
    </w:pPr>
    <w:rPr/>
  </w:style>
  <w:style w:type="paragraph" w:styleId="Lgende1">
    <w:name w:val="Légende1"/>
    <w:basedOn w:val="Normal"/>
    <w:qFormat/>
    <w:pPr>
      <w:suppressLineNumbers/>
      <w:spacing w:before="120" w:after="120"/>
    </w:pPr>
    <w:rPr/>
  </w:style>
  <w:style w:type="paragraph" w:styleId="Entte1">
    <w:name w:val="En-tête1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1">
    <w:name w:val="Pied de page1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Soustitre">
    <w:name w:val="Subtitle"/>
    <w:basedOn w:val="Titreprincipal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fr-FR" w:eastAsia="zh-CN"/>
    </w:rPr>
  </w:style>
  <w:style w:type="paragraph" w:styleId="Tableoffigures">
    <w:name w:val="table of figures"/>
    <w:basedOn w:val="Lgende1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119"/>
    </w:pPr>
    <w:rPr>
      <w:sz w:val="24"/>
      <w:szCs w:val="24"/>
      <w:lang w:eastAsia="fr-FR"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83" w:before="0" w:after="120"/>
      <w:ind w:left="720" w:right="0" w:hanging="0"/>
      <w:contextualSpacing/>
    </w:pPr>
    <w:rPr>
      <w:rFonts w:ascii="Calibri" w:hAnsi="Calibri"/>
      <w:color w:val="000000"/>
      <w:kern w:val="2"/>
      <w:lang w:eastAsia="fr-FR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w Cen MT" w:hAnsi="Tw Cen MT" w:cs="Tw Cen MT" w:eastAsia="SimSun"/>
      <w:color w:val="000000"/>
      <w:kern w:val="2"/>
      <w:sz w:val="20"/>
      <w:szCs w:val="24"/>
      <w:lang w:bidi="ar-SA" w:val="fr-FR" w:eastAsia="zh-CN"/>
    </w:rPr>
  </w:style>
  <w:style w:type="paragraph" w:styleId="Titredetableau">
    <w:name w:val="Titre de tableau"/>
    <w:basedOn w:val="Contenudetableau"/>
    <w:qFormat/>
    <w:pPr/>
    <w:rPr/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LibreOffice/6.3.4.2$Windows_X86_64 LibreOffice_project/60da17e045e08f1793c57c00ba83cdfce946d0aa</Application>
  <Pages>1</Pages>
  <Words>129</Words>
  <Characters>827</Characters>
  <CharactersWithSpaces>938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2019-05-03T18:15:00Z</dcterms:created>
  <dc:creator>XJM BR</dc:creator>
  <dc:description/>
  <dc:language>fr-FR</dc:language>
  <cp:lastModifiedBy/>
  <dcterms:modified xsi:type="dcterms:W3CDTF">2019-12-18T15:52:15Z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