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52AC4" w14:textId="77777777" w:rsidR="008F4AAF" w:rsidRDefault="008F4AAF" w:rsidP="0076148A">
      <w:pPr>
        <w:shd w:val="clear" w:color="auto" w:fill="002060"/>
        <w:spacing w:after="0" w:line="240" w:lineRule="auto"/>
        <w:jc w:val="center"/>
        <w:rPr>
          <w:b/>
          <w:color w:val="FFFFFF" w:themeColor="background1"/>
          <w:sz w:val="32"/>
          <w:szCs w:val="32"/>
        </w:rPr>
      </w:pPr>
    </w:p>
    <w:p w14:paraId="52467340" w14:textId="77777777" w:rsidR="00041776" w:rsidRPr="00257CCD" w:rsidRDefault="005938C4" w:rsidP="0076148A">
      <w:pPr>
        <w:shd w:val="clear" w:color="auto" w:fill="002060"/>
        <w:spacing w:after="0" w:line="240" w:lineRule="auto"/>
        <w:jc w:val="center"/>
        <w:rPr>
          <w:b/>
          <w:color w:val="FFFFFF" w:themeColor="background1"/>
          <w:sz w:val="32"/>
          <w:szCs w:val="32"/>
        </w:rPr>
      </w:pPr>
      <w:r w:rsidRPr="00257CCD">
        <w:rPr>
          <w:b/>
          <w:color w:val="FFFFFF" w:themeColor="background1"/>
          <w:sz w:val="32"/>
          <w:szCs w:val="32"/>
        </w:rPr>
        <w:t>Comment un marché concurrentiel fonctionne-t-il ?</w:t>
      </w:r>
    </w:p>
    <w:p w14:paraId="73C0341D" w14:textId="77777777" w:rsidR="002B3AC7" w:rsidRDefault="002B3AC7" w:rsidP="0076148A">
      <w:pPr>
        <w:shd w:val="clear" w:color="auto" w:fill="002060"/>
        <w:spacing w:after="0" w:line="240" w:lineRule="auto"/>
        <w:jc w:val="center"/>
        <w:rPr>
          <w:bCs/>
          <w:color w:val="FFFFFF" w:themeColor="background1"/>
          <w:sz w:val="28"/>
          <w:szCs w:val="28"/>
        </w:rPr>
      </w:pPr>
      <w:r w:rsidRPr="00257CCD">
        <w:rPr>
          <w:bCs/>
          <w:color w:val="FFFFFF" w:themeColor="background1"/>
          <w:sz w:val="28"/>
          <w:szCs w:val="28"/>
        </w:rPr>
        <w:t>Proposition de séquence pédagogique</w:t>
      </w:r>
    </w:p>
    <w:p w14:paraId="2F9C42E2" w14:textId="77777777" w:rsidR="008F4AAF" w:rsidRPr="00257CCD" w:rsidRDefault="008F4AAF" w:rsidP="0076148A">
      <w:pPr>
        <w:shd w:val="clear" w:color="auto" w:fill="002060"/>
        <w:spacing w:after="0" w:line="240" w:lineRule="auto"/>
        <w:jc w:val="center"/>
        <w:rPr>
          <w:bCs/>
          <w:color w:val="FFFFFF" w:themeColor="background1"/>
          <w:sz w:val="28"/>
          <w:szCs w:val="28"/>
        </w:rPr>
      </w:pPr>
    </w:p>
    <w:p w14:paraId="18BEA5CE" w14:textId="77777777" w:rsidR="00324795" w:rsidRDefault="00324795" w:rsidP="00B57BEB">
      <w:pPr>
        <w:jc w:val="both"/>
        <w:rPr>
          <w:b/>
        </w:rPr>
      </w:pPr>
    </w:p>
    <w:p w14:paraId="64EB912C" w14:textId="77777777" w:rsidR="000B47AB" w:rsidRPr="008F4AAF" w:rsidRDefault="000B47AB" w:rsidP="00154C2D">
      <w:pPr>
        <w:jc w:val="both"/>
        <w:rPr>
          <w:b/>
          <w:color w:val="002060"/>
        </w:rPr>
      </w:pPr>
      <w:r w:rsidRPr="008F4AAF">
        <w:rPr>
          <w:b/>
          <w:color w:val="002060"/>
        </w:rPr>
        <w:t>Objectif </w:t>
      </w:r>
      <w:r w:rsidR="00154C2D" w:rsidRPr="008F4AAF">
        <w:rPr>
          <w:b/>
          <w:color w:val="002060"/>
        </w:rPr>
        <w:t xml:space="preserve">n° 3 </w:t>
      </w:r>
      <w:r w:rsidRPr="008F4AAF">
        <w:rPr>
          <w:b/>
          <w:color w:val="002060"/>
        </w:rPr>
        <w:t xml:space="preserve">: </w:t>
      </w:r>
      <w:r w:rsidRPr="008F4AAF">
        <w:rPr>
          <w:color w:val="002060"/>
        </w:rPr>
        <w:t>Savoir illustrer et interpréter les déplacements des courbes et sur les courbes, par différents exemples chiffrés, notamment celui de la mise en œuvre d’une taxe forfaitaire.</w:t>
      </w:r>
    </w:p>
    <w:p w14:paraId="3C2D2DCF" w14:textId="77777777" w:rsidR="00324795" w:rsidRDefault="00324795" w:rsidP="00324795">
      <w:pPr>
        <w:spacing w:after="0" w:line="240" w:lineRule="auto"/>
        <w:jc w:val="both"/>
        <w:rPr>
          <w:b/>
        </w:rPr>
      </w:pPr>
    </w:p>
    <w:p w14:paraId="2C433C76" w14:textId="77777777" w:rsidR="008F4AAF" w:rsidRDefault="008F4AAF" w:rsidP="00324795">
      <w:pPr>
        <w:spacing w:after="0" w:line="240" w:lineRule="auto"/>
        <w:jc w:val="both"/>
        <w:rPr>
          <w:b/>
        </w:rPr>
      </w:pPr>
    </w:p>
    <w:p w14:paraId="2A7341AD" w14:textId="77777777" w:rsidR="00EB0B1F" w:rsidRPr="008F4AAF" w:rsidRDefault="00EB0B1F" w:rsidP="008F4AAF">
      <w:pPr>
        <w:shd w:val="clear" w:color="auto" w:fill="E7E6E6" w:themeFill="background2"/>
        <w:spacing w:after="0" w:line="240" w:lineRule="auto"/>
        <w:jc w:val="both"/>
        <w:rPr>
          <w:b/>
          <w:u w:val="single"/>
        </w:rPr>
      </w:pPr>
      <w:r w:rsidRPr="008F4AAF">
        <w:rPr>
          <w:b/>
          <w:u w:val="single"/>
        </w:rPr>
        <w:t>Prérequis :</w:t>
      </w:r>
    </w:p>
    <w:p w14:paraId="22AB5647" w14:textId="77777777" w:rsidR="00324795" w:rsidRDefault="00324795" w:rsidP="008F4AAF">
      <w:pPr>
        <w:shd w:val="clear" w:color="auto" w:fill="E7E6E6" w:themeFill="background2"/>
        <w:spacing w:after="0" w:line="240" w:lineRule="auto"/>
        <w:jc w:val="both"/>
      </w:pPr>
    </w:p>
    <w:p w14:paraId="22199FC3" w14:textId="77777777" w:rsidR="00EB0B1F" w:rsidRDefault="00EB0B1F" w:rsidP="008F4AAF">
      <w:pPr>
        <w:shd w:val="clear" w:color="auto" w:fill="E7E6E6" w:themeFill="background2"/>
        <w:spacing w:after="0" w:line="240" w:lineRule="auto"/>
        <w:jc w:val="both"/>
      </w:pPr>
      <w:r>
        <w:t xml:space="preserve">- </w:t>
      </w:r>
      <w:r w:rsidR="00154C2D">
        <w:t>L</w:t>
      </w:r>
      <w:r>
        <w:t>es élèves auront étudié l’offre et la demande sur un marché concurrentiel ainsi que la formation du prix d’équilibre</w:t>
      </w:r>
      <w:r w:rsidR="00324795">
        <w:t>.</w:t>
      </w:r>
    </w:p>
    <w:p w14:paraId="4C12B7A2" w14:textId="77777777" w:rsidR="00324795" w:rsidRDefault="00324795" w:rsidP="008F4AAF">
      <w:pPr>
        <w:shd w:val="clear" w:color="auto" w:fill="E7E6E6" w:themeFill="background2"/>
        <w:spacing w:after="0" w:line="240" w:lineRule="auto"/>
        <w:jc w:val="both"/>
      </w:pPr>
    </w:p>
    <w:p w14:paraId="051B99BF" w14:textId="77777777" w:rsidR="00EB0B1F" w:rsidRDefault="00EB0B1F" w:rsidP="008F4AAF">
      <w:pPr>
        <w:shd w:val="clear" w:color="auto" w:fill="E7E6E6" w:themeFill="background2"/>
        <w:spacing w:after="0" w:line="240" w:lineRule="auto"/>
        <w:jc w:val="both"/>
      </w:pPr>
      <w:r>
        <w:t xml:space="preserve">- </w:t>
      </w:r>
      <w:r w:rsidR="00154C2D">
        <w:t>I</w:t>
      </w:r>
      <w:r>
        <w:t>ls auront vu comment les agents réagissent à une variation des prix en fonction de l’élasticité-prix de la demande</w:t>
      </w:r>
      <w:r w:rsidR="00293260">
        <w:t>.</w:t>
      </w:r>
    </w:p>
    <w:p w14:paraId="0EE5EA57" w14:textId="77777777" w:rsidR="00324795" w:rsidRDefault="00324795" w:rsidP="008F4AAF">
      <w:pPr>
        <w:shd w:val="clear" w:color="auto" w:fill="E7E6E6" w:themeFill="background2"/>
        <w:spacing w:after="0" w:line="240" w:lineRule="auto"/>
        <w:jc w:val="both"/>
        <w:rPr>
          <w:b/>
        </w:rPr>
      </w:pPr>
    </w:p>
    <w:p w14:paraId="255BB6B1" w14:textId="77777777" w:rsidR="00C25626" w:rsidRPr="008F4AAF" w:rsidRDefault="005938C4" w:rsidP="008F4AAF">
      <w:pPr>
        <w:shd w:val="clear" w:color="auto" w:fill="E7E6E6" w:themeFill="background2"/>
        <w:spacing w:after="0" w:line="240" w:lineRule="auto"/>
        <w:jc w:val="both"/>
        <w:rPr>
          <w:b/>
          <w:u w:val="single"/>
        </w:rPr>
      </w:pPr>
      <w:r w:rsidRPr="008F4AAF">
        <w:rPr>
          <w:b/>
          <w:u w:val="single"/>
        </w:rPr>
        <w:t>Logique de cheminement :</w:t>
      </w:r>
    </w:p>
    <w:p w14:paraId="4A7C68C9" w14:textId="77777777" w:rsidR="00324795" w:rsidRDefault="00324795" w:rsidP="008F4AAF">
      <w:pPr>
        <w:shd w:val="clear" w:color="auto" w:fill="E7E6E6" w:themeFill="background2"/>
        <w:spacing w:after="0" w:line="240" w:lineRule="auto"/>
        <w:jc w:val="both"/>
      </w:pPr>
    </w:p>
    <w:p w14:paraId="21CCC19C" w14:textId="77777777" w:rsidR="005938C4" w:rsidRDefault="005938C4" w:rsidP="008F4AAF">
      <w:pPr>
        <w:shd w:val="clear" w:color="auto" w:fill="E7E6E6" w:themeFill="background2"/>
        <w:spacing w:after="0" w:line="240" w:lineRule="auto"/>
        <w:jc w:val="both"/>
      </w:pPr>
      <w:r w:rsidRPr="005938C4">
        <w:t xml:space="preserve">- Une activité de sensibilisation sur un marché au cadran </w:t>
      </w:r>
      <w:r>
        <w:t xml:space="preserve">permet à la fois de rappeler </w:t>
      </w:r>
      <w:r w:rsidR="008F0088">
        <w:t>les mécanismes de la loi de l’offre et de la demande</w:t>
      </w:r>
      <w:r>
        <w:t xml:space="preserve"> et de découvrir les effets d’une augmentation de l’offre</w:t>
      </w:r>
      <w:r w:rsidR="008F0088">
        <w:t xml:space="preserve"> sur le prix du marché.</w:t>
      </w:r>
    </w:p>
    <w:p w14:paraId="472C484D" w14:textId="77777777" w:rsidR="00324795" w:rsidRDefault="00324795" w:rsidP="008F4AAF">
      <w:pPr>
        <w:shd w:val="clear" w:color="auto" w:fill="E7E6E6" w:themeFill="background2"/>
        <w:spacing w:after="0" w:line="240" w:lineRule="auto"/>
        <w:jc w:val="both"/>
      </w:pPr>
    </w:p>
    <w:p w14:paraId="08DE8885" w14:textId="77777777" w:rsidR="008F0088" w:rsidRDefault="008F0088" w:rsidP="008F4AAF">
      <w:pPr>
        <w:shd w:val="clear" w:color="auto" w:fill="E7E6E6" w:themeFill="background2"/>
        <w:spacing w:after="0" w:line="240" w:lineRule="auto"/>
        <w:jc w:val="both"/>
      </w:pPr>
      <w:r>
        <w:t>- Une seconde activité vise à modéliser la situation à l’aide d’un graphique pour étudier les effets d’un déplacement de la courbe d’offre sur l’équilibre du marché.</w:t>
      </w:r>
    </w:p>
    <w:p w14:paraId="5C2801EC" w14:textId="77777777" w:rsidR="00324795" w:rsidRDefault="00324795" w:rsidP="008F4AAF">
      <w:pPr>
        <w:shd w:val="clear" w:color="auto" w:fill="E7E6E6" w:themeFill="background2"/>
        <w:spacing w:after="0" w:line="240" w:lineRule="auto"/>
        <w:jc w:val="both"/>
      </w:pPr>
    </w:p>
    <w:p w14:paraId="05DEB000" w14:textId="77777777" w:rsidR="00154C2D" w:rsidRDefault="00154C2D" w:rsidP="008F4AAF">
      <w:pPr>
        <w:shd w:val="clear" w:color="auto" w:fill="E7E6E6" w:themeFill="background2"/>
        <w:spacing w:after="0" w:line="240" w:lineRule="auto"/>
        <w:jc w:val="both"/>
      </w:pPr>
      <w:r>
        <w:t>- Une troisième activité modélise les effets de l’introduction d’une taxe forfaitaire sur le marché au cadran pour en comprendre les effets.</w:t>
      </w:r>
    </w:p>
    <w:p w14:paraId="4B12ADBE" w14:textId="77777777" w:rsidR="00324795" w:rsidRDefault="00324795" w:rsidP="008F4AAF">
      <w:pPr>
        <w:shd w:val="clear" w:color="auto" w:fill="E7E6E6" w:themeFill="background2"/>
        <w:spacing w:after="0" w:line="240" w:lineRule="auto"/>
        <w:jc w:val="both"/>
      </w:pPr>
    </w:p>
    <w:p w14:paraId="26A01F47" w14:textId="77777777" w:rsidR="005F5F0C" w:rsidRPr="008F4AAF" w:rsidRDefault="005F5F0C" w:rsidP="008F4AAF">
      <w:pPr>
        <w:shd w:val="clear" w:color="auto" w:fill="E7E6E6" w:themeFill="background2"/>
        <w:spacing w:after="0" w:line="240" w:lineRule="auto"/>
        <w:rPr>
          <w:b/>
          <w:bCs/>
          <w:u w:val="single"/>
        </w:rPr>
      </w:pPr>
      <w:r w:rsidRPr="008F4AAF">
        <w:rPr>
          <w:b/>
          <w:bCs/>
          <w:u w:val="single"/>
        </w:rPr>
        <w:t>Objectifs d’apprentissage</w:t>
      </w:r>
      <w:r w:rsidR="00154C2D" w:rsidRPr="008F4AAF">
        <w:rPr>
          <w:b/>
          <w:bCs/>
          <w:u w:val="single"/>
        </w:rPr>
        <w:t> :</w:t>
      </w:r>
    </w:p>
    <w:p w14:paraId="67DCA4AE" w14:textId="77777777" w:rsidR="00324795" w:rsidRPr="00154C2D" w:rsidRDefault="00324795" w:rsidP="008F4AAF">
      <w:pPr>
        <w:shd w:val="clear" w:color="auto" w:fill="E7E6E6" w:themeFill="background2"/>
        <w:spacing w:after="0" w:line="240" w:lineRule="auto"/>
        <w:rPr>
          <w:b/>
          <w:bCs/>
        </w:rPr>
      </w:pPr>
    </w:p>
    <w:p w14:paraId="16A6A8C4" w14:textId="77777777" w:rsidR="00154C2D" w:rsidRDefault="00154C2D" w:rsidP="008F4AAF">
      <w:pPr>
        <w:shd w:val="clear" w:color="auto" w:fill="E7E6E6" w:themeFill="background2"/>
        <w:spacing w:after="0" w:line="240" w:lineRule="auto"/>
      </w:pPr>
      <w:r>
        <w:t xml:space="preserve">- </w:t>
      </w:r>
      <w:r w:rsidR="005F5F0C">
        <w:t xml:space="preserve">Illustrer </w:t>
      </w:r>
      <w:r>
        <w:t>et interpréter le</w:t>
      </w:r>
      <w:r w:rsidR="005F5F0C">
        <w:t xml:space="preserve"> déplacement d</w:t>
      </w:r>
      <w:r>
        <w:t>es</w:t>
      </w:r>
      <w:r w:rsidR="005F5F0C">
        <w:t xml:space="preserve"> courbe</w:t>
      </w:r>
      <w:r>
        <w:t>s</w:t>
      </w:r>
      <w:r w:rsidR="005F5F0C">
        <w:t xml:space="preserve"> d</w:t>
      </w:r>
      <w:r>
        <w:t>’offre et d</w:t>
      </w:r>
      <w:r w:rsidR="005F5F0C">
        <w:t>e demande</w:t>
      </w:r>
      <w:r>
        <w:t xml:space="preserve"> sur un marché concurrentiel.</w:t>
      </w:r>
    </w:p>
    <w:p w14:paraId="12A51CDB" w14:textId="77777777" w:rsidR="00324795" w:rsidRDefault="00324795" w:rsidP="008F4AAF">
      <w:pPr>
        <w:shd w:val="clear" w:color="auto" w:fill="E7E6E6" w:themeFill="background2"/>
        <w:spacing w:after="0" w:line="240" w:lineRule="auto"/>
      </w:pPr>
    </w:p>
    <w:p w14:paraId="6350B321" w14:textId="77777777" w:rsidR="005F5F0C" w:rsidRDefault="00154C2D" w:rsidP="008F4AAF">
      <w:pPr>
        <w:shd w:val="clear" w:color="auto" w:fill="E7E6E6" w:themeFill="background2"/>
        <w:spacing w:after="0" w:line="240" w:lineRule="auto"/>
      </w:pPr>
      <w:r>
        <w:t xml:space="preserve">- </w:t>
      </w:r>
      <w:r w:rsidR="005F5F0C">
        <w:t>Montrer les effets d’une taxe forfaitaire sur l’équilibre de marché.</w:t>
      </w:r>
    </w:p>
    <w:p w14:paraId="29F4F452" w14:textId="77777777" w:rsidR="00324795" w:rsidRDefault="00324795" w:rsidP="008F4AAF">
      <w:pPr>
        <w:shd w:val="clear" w:color="auto" w:fill="E7E6E6" w:themeFill="background2"/>
        <w:spacing w:after="0" w:line="240" w:lineRule="auto"/>
      </w:pPr>
    </w:p>
    <w:p w14:paraId="354DC6E1" w14:textId="77777777" w:rsidR="005F5F0C" w:rsidRDefault="00154C2D" w:rsidP="008F4AAF">
      <w:pPr>
        <w:shd w:val="clear" w:color="auto" w:fill="E7E6E6" w:themeFill="background2"/>
        <w:spacing w:after="0" w:line="240" w:lineRule="auto"/>
      </w:pPr>
      <w:r>
        <w:t xml:space="preserve">- </w:t>
      </w:r>
      <w:r w:rsidR="005F5F0C">
        <w:t>Montrer qu’une taxe sur la demande est supportée par les acheteurs et les vendeurs</w:t>
      </w:r>
      <w:r>
        <w:t>.</w:t>
      </w:r>
    </w:p>
    <w:p w14:paraId="03D37E75" w14:textId="77777777" w:rsidR="00324795" w:rsidRDefault="00324795" w:rsidP="008F4AAF">
      <w:pPr>
        <w:shd w:val="clear" w:color="auto" w:fill="E7E6E6" w:themeFill="background2"/>
        <w:spacing w:after="0" w:line="240" w:lineRule="auto"/>
      </w:pPr>
    </w:p>
    <w:p w14:paraId="63A70460" w14:textId="77777777" w:rsidR="005F5F0C" w:rsidRPr="008F4AAF" w:rsidRDefault="00154C2D" w:rsidP="008F4AAF">
      <w:pPr>
        <w:shd w:val="clear" w:color="auto" w:fill="E7E6E6" w:themeFill="background2"/>
        <w:spacing w:after="0" w:line="240" w:lineRule="auto"/>
        <w:rPr>
          <w:b/>
          <w:bCs/>
          <w:u w:val="single"/>
        </w:rPr>
      </w:pPr>
      <w:r w:rsidRPr="008F4AAF">
        <w:rPr>
          <w:b/>
          <w:bCs/>
          <w:u w:val="single"/>
        </w:rPr>
        <w:t xml:space="preserve">Enjeux </w:t>
      </w:r>
      <w:r w:rsidR="00DD5A1C" w:rsidRPr="008F4AAF">
        <w:rPr>
          <w:b/>
          <w:bCs/>
          <w:u w:val="single"/>
        </w:rPr>
        <w:t xml:space="preserve">épistémologiques et </w:t>
      </w:r>
      <w:r w:rsidRPr="008F4AAF">
        <w:rPr>
          <w:b/>
          <w:bCs/>
          <w:u w:val="single"/>
        </w:rPr>
        <w:t>didactiques :</w:t>
      </w:r>
    </w:p>
    <w:p w14:paraId="195FC7B8" w14:textId="77777777" w:rsidR="00324795" w:rsidRPr="00154C2D" w:rsidRDefault="00324795" w:rsidP="008F4AAF">
      <w:pPr>
        <w:shd w:val="clear" w:color="auto" w:fill="E7E6E6" w:themeFill="background2"/>
        <w:spacing w:after="0" w:line="240" w:lineRule="auto"/>
        <w:rPr>
          <w:b/>
          <w:bCs/>
        </w:rPr>
      </w:pPr>
    </w:p>
    <w:p w14:paraId="0A7DA674" w14:textId="77777777" w:rsidR="005F5F0C" w:rsidRDefault="00D55A44" w:rsidP="008F4AAF">
      <w:pPr>
        <w:shd w:val="clear" w:color="auto" w:fill="E7E6E6" w:themeFill="background2"/>
        <w:spacing w:after="0" w:line="240" w:lineRule="auto"/>
        <w:jc w:val="both"/>
      </w:pPr>
      <w:r>
        <w:t xml:space="preserve">- Le modèle de la CPP, qui est mobilisé ici, est une simulation qui met en lumière les mécanismes qui opèrent </w:t>
      </w:r>
      <w:r w:rsidRPr="00A57670">
        <w:rPr>
          <w:b/>
          <w:bCs/>
        </w:rPr>
        <w:t>sur les marchés concurrentiels où les agents sont preneurs de prix</w:t>
      </w:r>
      <w:r>
        <w:t xml:space="preserve">. </w:t>
      </w:r>
      <w:r w:rsidR="00DD5A1C">
        <w:t>Si pour des raisons pédagogiques il paraît indispensable de s’appuyer sur des exemples concrets de marché, il est tout autant nécessaire de choisir des marchés sur lesquels les agents sont effectivement preneurs de prix. Dans cette séquence, le choix s’est donc porté sur un marché aux cadran (à enchères) de la viande bovine.</w:t>
      </w:r>
    </w:p>
    <w:p w14:paraId="116763FF" w14:textId="77777777" w:rsidR="00324795" w:rsidRDefault="00324795" w:rsidP="008F4AAF">
      <w:pPr>
        <w:shd w:val="clear" w:color="auto" w:fill="E7E6E6" w:themeFill="background2"/>
        <w:spacing w:after="0" w:line="240" w:lineRule="auto"/>
        <w:jc w:val="both"/>
      </w:pPr>
    </w:p>
    <w:p w14:paraId="4673D56C" w14:textId="77777777" w:rsidR="00DD5A1C" w:rsidRDefault="00DD5A1C" w:rsidP="008F4AAF">
      <w:pPr>
        <w:shd w:val="clear" w:color="auto" w:fill="E7E6E6" w:themeFill="background2"/>
        <w:spacing w:after="0" w:line="240" w:lineRule="auto"/>
        <w:jc w:val="both"/>
      </w:pPr>
      <w:r>
        <w:t xml:space="preserve">- Il est important de préciser aux élèves que la modélisation du marché au cadran </w:t>
      </w:r>
      <w:r w:rsidRPr="00A57670">
        <w:rPr>
          <w:b/>
          <w:bCs/>
        </w:rPr>
        <w:t>ne vise pas à décrire la réalité</w:t>
      </w:r>
      <w:r>
        <w:t xml:space="preserve"> (on ne connait pas les courbes d’offre et de demande réelles) mais à la </w:t>
      </w:r>
      <w:r w:rsidR="00324795">
        <w:t xml:space="preserve">simplifier pour mieux comprendre les mécanismes à l’œuvre sur </w:t>
      </w:r>
      <w:r w:rsidR="00A57670">
        <w:t>un</w:t>
      </w:r>
      <w:r w:rsidR="00324795">
        <w:t xml:space="preserve"> marché concurrentiel. </w:t>
      </w:r>
      <w:r w:rsidR="00A57670">
        <w:t xml:space="preserve">Il a donc une </w:t>
      </w:r>
      <w:r w:rsidR="00A57670" w:rsidRPr="00A57670">
        <w:rPr>
          <w:b/>
          <w:bCs/>
        </w:rPr>
        <w:t>portée heuristique</w:t>
      </w:r>
      <w:r w:rsidR="00A57670">
        <w:t xml:space="preserve">. </w:t>
      </w:r>
    </w:p>
    <w:p w14:paraId="64CF7B61" w14:textId="77777777" w:rsidR="00324795" w:rsidRDefault="00324795" w:rsidP="00324795">
      <w:pPr>
        <w:spacing w:after="0" w:line="240" w:lineRule="auto"/>
        <w:jc w:val="both"/>
      </w:pPr>
    </w:p>
    <w:p w14:paraId="06BD2EB4" w14:textId="77777777" w:rsidR="008F4AAF" w:rsidRDefault="008F4AAF">
      <w:pPr>
        <w:rPr>
          <w:b/>
          <w:bCs/>
        </w:rPr>
      </w:pPr>
      <w:r>
        <w:rPr>
          <w:b/>
          <w:bCs/>
        </w:rPr>
        <w:br w:type="page"/>
      </w:r>
    </w:p>
    <w:p w14:paraId="22B56989" w14:textId="77777777" w:rsidR="00DD5A1C" w:rsidRPr="008F4AAF" w:rsidRDefault="00324795" w:rsidP="0076148A">
      <w:pPr>
        <w:shd w:val="clear" w:color="auto" w:fill="002060"/>
        <w:spacing w:after="0" w:line="240" w:lineRule="auto"/>
        <w:jc w:val="center"/>
        <w:rPr>
          <w:b/>
          <w:bCs/>
          <w:color w:val="FFFFFF" w:themeColor="background1"/>
          <w:sz w:val="28"/>
          <w:szCs w:val="28"/>
        </w:rPr>
      </w:pPr>
      <w:r w:rsidRPr="0076148A">
        <w:rPr>
          <w:b/>
          <w:bCs/>
          <w:color w:val="FFFFFF" w:themeColor="background1"/>
          <w:sz w:val="28"/>
          <w:szCs w:val="28"/>
        </w:rPr>
        <w:lastRenderedPageBreak/>
        <w:t>Scénario pédagogique</w:t>
      </w:r>
    </w:p>
    <w:p w14:paraId="249E84D0" w14:textId="77777777" w:rsidR="00324795" w:rsidRPr="00324795" w:rsidRDefault="00324795" w:rsidP="00324795">
      <w:pPr>
        <w:spacing w:after="0" w:line="240" w:lineRule="auto"/>
        <w:jc w:val="both"/>
        <w:rPr>
          <w:b/>
          <w:bCs/>
        </w:rPr>
      </w:pPr>
    </w:p>
    <w:p w14:paraId="7059E372" w14:textId="77777777" w:rsidR="00D910E3" w:rsidRDefault="00D910E3" w:rsidP="008F4AAF">
      <w:pPr>
        <w:spacing w:after="0" w:line="240" w:lineRule="auto"/>
        <w:rPr>
          <w:b/>
          <w:color w:val="FFFFFF" w:themeColor="background1"/>
          <w:shd w:val="clear" w:color="auto" w:fill="C00000"/>
        </w:rPr>
      </w:pPr>
    </w:p>
    <w:p w14:paraId="43777BFB" w14:textId="77777777" w:rsidR="000B47AB" w:rsidRDefault="00C25626" w:rsidP="0020387F">
      <w:pPr>
        <w:spacing w:after="0" w:line="240" w:lineRule="auto"/>
        <w:jc w:val="both"/>
        <w:rPr>
          <w:b/>
        </w:rPr>
      </w:pPr>
      <w:r w:rsidRPr="0076148A">
        <w:rPr>
          <w:b/>
          <w:color w:val="FFFFFF" w:themeColor="background1"/>
          <w:shd w:val="clear" w:color="auto" w:fill="C00000"/>
        </w:rPr>
        <w:t xml:space="preserve">Activité 1 de </w:t>
      </w:r>
      <w:r w:rsidR="00A22E4A" w:rsidRPr="0076148A">
        <w:rPr>
          <w:b/>
          <w:color w:val="FFFFFF" w:themeColor="background1"/>
          <w:shd w:val="clear" w:color="auto" w:fill="C00000"/>
        </w:rPr>
        <w:t xml:space="preserve">sensibilisation </w:t>
      </w:r>
      <w:r w:rsidR="00A22E4A" w:rsidRPr="0076148A">
        <w:rPr>
          <w:shd w:val="clear" w:color="auto" w:fill="C00000"/>
        </w:rPr>
        <w:t>:</w:t>
      </w:r>
      <w:r w:rsidR="000B47AB" w:rsidRPr="0076148A">
        <w:rPr>
          <w:shd w:val="clear" w:color="auto" w:fill="E7E6E6" w:themeFill="background2"/>
        </w:rPr>
        <w:t xml:space="preserve"> </w:t>
      </w:r>
      <w:r w:rsidR="000B47AB" w:rsidRPr="0076148A">
        <w:rPr>
          <w:b/>
          <w:shd w:val="clear" w:color="auto" w:fill="E7E6E6" w:themeFill="background2"/>
        </w:rPr>
        <w:t xml:space="preserve">reportage du JT </w:t>
      </w:r>
      <w:r w:rsidR="00B57BEB" w:rsidRPr="0076148A">
        <w:rPr>
          <w:b/>
          <w:shd w:val="clear" w:color="auto" w:fill="E7E6E6" w:themeFill="background2"/>
        </w:rPr>
        <w:t xml:space="preserve">de France 2 sur </w:t>
      </w:r>
      <w:r w:rsidR="0020387F">
        <w:rPr>
          <w:b/>
          <w:shd w:val="clear" w:color="auto" w:fill="E7E6E6" w:themeFill="background2"/>
        </w:rPr>
        <w:t>le marché au cadran.</w:t>
      </w:r>
    </w:p>
    <w:p w14:paraId="59DC37DB" w14:textId="77777777" w:rsidR="00324795" w:rsidRDefault="00324795" w:rsidP="00324795">
      <w:pPr>
        <w:spacing w:after="0" w:line="240" w:lineRule="auto"/>
        <w:rPr>
          <w:b/>
        </w:rPr>
      </w:pPr>
    </w:p>
    <w:p w14:paraId="7057A712" w14:textId="77777777" w:rsidR="0020387F" w:rsidRDefault="0020387F" w:rsidP="0020387F">
      <w:pPr>
        <w:spacing w:after="0" w:line="240" w:lineRule="auto"/>
        <w:jc w:val="both"/>
        <w:rPr>
          <w:bCs/>
        </w:rPr>
      </w:pPr>
      <w:r w:rsidRPr="0020387F">
        <w:rPr>
          <w:bCs/>
        </w:rPr>
        <w:t xml:space="preserve">Le reportage montre les effets d’une sécheresse </w:t>
      </w:r>
      <w:r>
        <w:rPr>
          <w:bCs/>
        </w:rPr>
        <w:t>sur le marché aux enchères des bovins. La flambée du prix du foin consécutive à la sécheresse pousse les éleveurs à vendre davantage de bêtes car il n’est plus rentable de les conserver. Cette augmentation de l’offre conduit à une baisse du prix et à une augmentation des quantités échangées sur le marché.</w:t>
      </w:r>
    </w:p>
    <w:p w14:paraId="6DB1478F" w14:textId="77777777" w:rsidR="0020387F" w:rsidRPr="0020387F" w:rsidRDefault="0020387F" w:rsidP="0020387F">
      <w:pPr>
        <w:spacing w:after="0" w:line="240" w:lineRule="auto"/>
        <w:jc w:val="both"/>
        <w:rPr>
          <w:bCs/>
        </w:rPr>
      </w:pPr>
    </w:p>
    <w:p w14:paraId="45133A0D" w14:textId="77777777" w:rsidR="00B57BEB" w:rsidRDefault="007279CF" w:rsidP="00324795">
      <w:pPr>
        <w:spacing w:after="0" w:line="240" w:lineRule="auto"/>
        <w:rPr>
          <w:rStyle w:val="Lienhypertexte"/>
        </w:rPr>
      </w:pPr>
      <w:hyperlink r:id="rId7" w:history="1">
        <w:r w:rsidR="00B57BEB" w:rsidRPr="00112648">
          <w:rPr>
            <w:rStyle w:val="Lienhypertexte"/>
          </w:rPr>
          <w:t>https://www.francetvinfo.fr/economie/emploi/metiers/agriculture/secheresse-les-eleveurs-bradent-leur-viande_2967503.html</w:t>
        </w:r>
      </w:hyperlink>
    </w:p>
    <w:p w14:paraId="0DA6DD5E" w14:textId="77777777" w:rsidR="00324795" w:rsidRDefault="00324795" w:rsidP="00324795">
      <w:pPr>
        <w:spacing w:after="0" w:line="240" w:lineRule="auto"/>
      </w:pPr>
    </w:p>
    <w:p w14:paraId="55870E0D" w14:textId="77777777" w:rsidR="00A57670" w:rsidRDefault="00A22E4A" w:rsidP="0020387F">
      <w:pPr>
        <w:spacing w:after="0" w:line="240" w:lineRule="auto"/>
        <w:jc w:val="both"/>
        <w:rPr>
          <w:bCs/>
        </w:rPr>
      </w:pPr>
      <w:r w:rsidRPr="00A22E4A">
        <w:rPr>
          <w:bCs/>
        </w:rPr>
        <w:t xml:space="preserve">Les élèves visionnent </w:t>
      </w:r>
      <w:r w:rsidR="00A57670">
        <w:rPr>
          <w:bCs/>
        </w:rPr>
        <w:t>le reportage</w:t>
      </w:r>
      <w:r w:rsidRPr="00A22E4A">
        <w:rPr>
          <w:bCs/>
        </w:rPr>
        <w:t xml:space="preserve"> chez eux et répondent au QCM interactif réalisé avec l’application </w:t>
      </w:r>
      <w:r w:rsidRPr="00A22E4A">
        <w:rPr>
          <w:b/>
        </w:rPr>
        <w:t>La Quizinière</w:t>
      </w:r>
      <w:r w:rsidRPr="00A22E4A">
        <w:rPr>
          <w:bCs/>
        </w:rPr>
        <w:t xml:space="preserve"> de Canopé. L’enseignant peut consulter leurs réponses avant la séance, pour prévoir des activités de remédiation</w:t>
      </w:r>
      <w:r>
        <w:rPr>
          <w:bCs/>
        </w:rPr>
        <w:t xml:space="preserve"> si besoin. </w:t>
      </w:r>
    </w:p>
    <w:p w14:paraId="3932FDB0" w14:textId="77777777" w:rsidR="00A22E4A" w:rsidRDefault="00A57670" w:rsidP="0020387F">
      <w:pPr>
        <w:spacing w:after="0" w:line="240" w:lineRule="auto"/>
        <w:jc w:val="both"/>
        <w:rPr>
          <w:rStyle w:val="Lienhypertexte"/>
          <w:bCs/>
        </w:rPr>
      </w:pPr>
      <w:r>
        <w:rPr>
          <w:bCs/>
        </w:rPr>
        <w:t xml:space="preserve">Lien vers le QCM : </w:t>
      </w:r>
      <w:hyperlink r:id="rId8" w:anchor="/PartageExercice/AOVBQLK9V9" w:history="1">
        <w:r w:rsidRPr="008E2699">
          <w:rPr>
            <w:rStyle w:val="Lienhypertexte"/>
            <w:bCs/>
          </w:rPr>
          <w:t>https://test.quiziniere.com/#/PartageExercice/AOVBQLK9V9</w:t>
        </w:r>
      </w:hyperlink>
    </w:p>
    <w:p w14:paraId="743B112A" w14:textId="77777777" w:rsidR="00D910E3" w:rsidRDefault="00D910E3" w:rsidP="00A22E4A">
      <w:pPr>
        <w:spacing w:after="0" w:line="240" w:lineRule="auto"/>
        <w:rPr>
          <w:bCs/>
        </w:rPr>
      </w:pPr>
    </w:p>
    <w:p w14:paraId="190E7C5C" w14:textId="77777777" w:rsidR="00A22E4A" w:rsidRPr="00C25626" w:rsidRDefault="00A22E4A" w:rsidP="00324795">
      <w:pPr>
        <w:pBdr>
          <w:top w:val="single" w:sz="4" w:space="1" w:color="auto"/>
          <w:left w:val="single" w:sz="4" w:space="1" w:color="auto"/>
          <w:bottom w:val="single" w:sz="4" w:space="1" w:color="auto"/>
          <w:right w:val="single" w:sz="4" w:space="1" w:color="auto"/>
        </w:pBdr>
        <w:spacing w:after="0" w:line="240" w:lineRule="auto"/>
        <w:rPr>
          <w:b/>
        </w:rPr>
      </w:pPr>
    </w:p>
    <w:p w14:paraId="5BC591E3" w14:textId="77777777" w:rsidR="00B57BEB" w:rsidRDefault="00B57BEB" w:rsidP="00324795">
      <w:pPr>
        <w:pBdr>
          <w:top w:val="single" w:sz="4" w:space="1" w:color="auto"/>
          <w:left w:val="single" w:sz="4" w:space="1" w:color="auto"/>
          <w:bottom w:val="single" w:sz="4" w:space="1" w:color="auto"/>
          <w:right w:val="single" w:sz="4" w:space="1" w:color="auto"/>
        </w:pBdr>
        <w:spacing w:after="0" w:line="240" w:lineRule="auto"/>
      </w:pPr>
      <w:r w:rsidRPr="00AF3F5A">
        <w:rPr>
          <w:b/>
        </w:rPr>
        <w:t>Question 1</w:t>
      </w:r>
      <w:r>
        <w:t> : Pourquoi la sécheresse conduit l’éleveur à vendre plus de bêtes qu’habituellement ?</w:t>
      </w:r>
    </w:p>
    <w:p w14:paraId="457AA1B5" w14:textId="77777777" w:rsidR="00A22E4A" w:rsidRDefault="00A22E4A" w:rsidP="00324795">
      <w:pPr>
        <w:pBdr>
          <w:top w:val="single" w:sz="4" w:space="1" w:color="auto"/>
          <w:left w:val="single" w:sz="4" w:space="1" w:color="auto"/>
          <w:bottom w:val="single" w:sz="4" w:space="1" w:color="auto"/>
          <w:right w:val="single" w:sz="4" w:space="1" w:color="auto"/>
        </w:pBdr>
        <w:spacing w:after="0" w:line="240" w:lineRule="auto"/>
      </w:pPr>
    </w:p>
    <w:p w14:paraId="0C9A7A58" w14:textId="77777777" w:rsidR="00B57BEB" w:rsidRDefault="00B57BEB" w:rsidP="00324795">
      <w:pPr>
        <w:pBdr>
          <w:top w:val="single" w:sz="4" w:space="1" w:color="auto"/>
          <w:left w:val="single" w:sz="4" w:space="1" w:color="auto"/>
          <w:bottom w:val="single" w:sz="4" w:space="1" w:color="auto"/>
          <w:right w:val="single" w:sz="4" w:space="1" w:color="auto"/>
        </w:pBdr>
        <w:spacing w:after="0" w:line="240" w:lineRule="auto"/>
      </w:pPr>
      <w:r>
        <w:t xml:space="preserve">a) </w:t>
      </w:r>
      <w:r w:rsidR="00FB325D">
        <w:t>Les bêtes ne supportent pas la sécheresse et sont malades.</w:t>
      </w:r>
    </w:p>
    <w:p w14:paraId="1D54306D" w14:textId="77777777" w:rsidR="00FB325D" w:rsidRDefault="00FB325D" w:rsidP="00324795">
      <w:pPr>
        <w:pBdr>
          <w:top w:val="single" w:sz="4" w:space="1" w:color="auto"/>
          <w:left w:val="single" w:sz="4" w:space="1" w:color="auto"/>
          <w:bottom w:val="single" w:sz="4" w:space="1" w:color="auto"/>
          <w:right w:val="single" w:sz="4" w:space="1" w:color="auto"/>
        </w:pBdr>
        <w:spacing w:after="0" w:line="240" w:lineRule="auto"/>
      </w:pPr>
      <w:r>
        <w:t>b) L’herbe ne pousse plus et il faut nourrir les bêtes avec du fourrage dont les prix flambent.</w:t>
      </w:r>
    </w:p>
    <w:p w14:paraId="41D290C0" w14:textId="77777777" w:rsidR="00FB325D" w:rsidRDefault="00FB325D" w:rsidP="00324795">
      <w:pPr>
        <w:pBdr>
          <w:top w:val="single" w:sz="4" w:space="1" w:color="auto"/>
          <w:left w:val="single" w:sz="4" w:space="1" w:color="auto"/>
          <w:bottom w:val="single" w:sz="4" w:space="1" w:color="auto"/>
          <w:right w:val="single" w:sz="4" w:space="1" w:color="auto"/>
        </w:pBdr>
        <w:spacing w:after="0" w:line="240" w:lineRule="auto"/>
      </w:pPr>
      <w:r>
        <w:t>c) La sécheresse fait augmenter le prix des bêtes, l’éleveur a donc intérêt à en vendre davantage.</w:t>
      </w:r>
    </w:p>
    <w:p w14:paraId="4607F6B5" w14:textId="77777777" w:rsidR="00A22E4A" w:rsidRDefault="00A22E4A" w:rsidP="00324795">
      <w:pPr>
        <w:pBdr>
          <w:top w:val="single" w:sz="4" w:space="1" w:color="auto"/>
          <w:left w:val="single" w:sz="4" w:space="1" w:color="auto"/>
          <w:bottom w:val="single" w:sz="4" w:space="1" w:color="auto"/>
          <w:right w:val="single" w:sz="4" w:space="1" w:color="auto"/>
        </w:pBdr>
        <w:spacing w:after="0" w:line="240" w:lineRule="auto"/>
      </w:pPr>
    </w:p>
    <w:p w14:paraId="3A90593E" w14:textId="77777777" w:rsidR="00FB325D" w:rsidRDefault="00FB325D" w:rsidP="00324795">
      <w:pPr>
        <w:pBdr>
          <w:top w:val="single" w:sz="4" w:space="1" w:color="auto"/>
          <w:left w:val="single" w:sz="4" w:space="1" w:color="auto"/>
          <w:bottom w:val="single" w:sz="4" w:space="1" w:color="auto"/>
          <w:right w:val="single" w:sz="4" w:space="1" w:color="auto"/>
        </w:pBdr>
        <w:spacing w:after="0" w:line="240" w:lineRule="auto"/>
      </w:pPr>
      <w:r w:rsidRPr="00AF3F5A">
        <w:rPr>
          <w:b/>
        </w:rPr>
        <w:t>Question 2</w:t>
      </w:r>
      <w:r>
        <w:t> : D’après ce que montre le reportage, les éleveurs sont-ils preneurs ou faiseurs de prix ?</w:t>
      </w:r>
    </w:p>
    <w:p w14:paraId="4EBC710B" w14:textId="77777777" w:rsidR="00A22E4A" w:rsidRDefault="00A22E4A" w:rsidP="00324795">
      <w:pPr>
        <w:pBdr>
          <w:top w:val="single" w:sz="4" w:space="1" w:color="auto"/>
          <w:left w:val="single" w:sz="4" w:space="1" w:color="auto"/>
          <w:bottom w:val="single" w:sz="4" w:space="1" w:color="auto"/>
          <w:right w:val="single" w:sz="4" w:space="1" w:color="auto"/>
        </w:pBdr>
        <w:spacing w:after="0" w:line="240" w:lineRule="auto"/>
      </w:pPr>
    </w:p>
    <w:p w14:paraId="2E49A4D0" w14:textId="77777777" w:rsidR="00FB325D" w:rsidRDefault="00FB325D" w:rsidP="00324795">
      <w:pPr>
        <w:pBdr>
          <w:top w:val="single" w:sz="4" w:space="1" w:color="auto"/>
          <w:left w:val="single" w:sz="4" w:space="1" w:color="auto"/>
          <w:bottom w:val="single" w:sz="4" w:space="1" w:color="auto"/>
          <w:right w:val="single" w:sz="4" w:space="1" w:color="auto"/>
        </w:pBdr>
        <w:spacing w:after="0" w:line="240" w:lineRule="auto"/>
      </w:pPr>
      <w:r>
        <w:t>a) Preneurs de prix</w:t>
      </w:r>
    </w:p>
    <w:p w14:paraId="5A449607" w14:textId="77777777" w:rsidR="00FB325D" w:rsidRDefault="00FB325D" w:rsidP="00324795">
      <w:pPr>
        <w:pBdr>
          <w:top w:val="single" w:sz="4" w:space="1" w:color="auto"/>
          <w:left w:val="single" w:sz="4" w:space="1" w:color="auto"/>
          <w:bottom w:val="single" w:sz="4" w:space="1" w:color="auto"/>
          <w:right w:val="single" w:sz="4" w:space="1" w:color="auto"/>
        </w:pBdr>
        <w:spacing w:after="0" w:line="240" w:lineRule="auto"/>
      </w:pPr>
      <w:r>
        <w:t>b) Faiseurs de prix</w:t>
      </w:r>
    </w:p>
    <w:p w14:paraId="143C7BEA" w14:textId="77777777" w:rsidR="00A22E4A" w:rsidRDefault="00A22E4A" w:rsidP="00324795">
      <w:pPr>
        <w:pBdr>
          <w:top w:val="single" w:sz="4" w:space="1" w:color="auto"/>
          <w:left w:val="single" w:sz="4" w:space="1" w:color="auto"/>
          <w:bottom w:val="single" w:sz="4" w:space="1" w:color="auto"/>
          <w:right w:val="single" w:sz="4" w:space="1" w:color="auto"/>
        </w:pBdr>
        <w:spacing w:after="0" w:line="240" w:lineRule="auto"/>
      </w:pPr>
    </w:p>
    <w:p w14:paraId="6F6A6CAA" w14:textId="77777777" w:rsidR="00AF3F5A" w:rsidRDefault="00FB325D" w:rsidP="00324795">
      <w:pPr>
        <w:pBdr>
          <w:top w:val="single" w:sz="4" w:space="1" w:color="auto"/>
          <w:left w:val="single" w:sz="4" w:space="1" w:color="auto"/>
          <w:bottom w:val="single" w:sz="4" w:space="1" w:color="auto"/>
          <w:right w:val="single" w:sz="4" w:space="1" w:color="auto"/>
        </w:pBdr>
        <w:spacing w:after="0" w:line="240" w:lineRule="auto"/>
      </w:pPr>
      <w:r w:rsidRPr="00AF3F5A">
        <w:rPr>
          <w:b/>
        </w:rPr>
        <w:t>Qu</w:t>
      </w:r>
      <w:r w:rsidR="00B57BEB" w:rsidRPr="00AF3F5A">
        <w:rPr>
          <w:b/>
        </w:rPr>
        <w:t xml:space="preserve">estion </w:t>
      </w:r>
      <w:r w:rsidRPr="00AF3F5A">
        <w:rPr>
          <w:b/>
        </w:rPr>
        <w:t>3</w:t>
      </w:r>
      <w:r w:rsidR="00B57BEB">
        <w:t xml:space="preserve"> : </w:t>
      </w:r>
      <w:r w:rsidR="00C25626" w:rsidRPr="00C25626">
        <w:t>Sur un marché concurrentiel où les agents sont preneurs de prix, que se passe-t-il dans les cas suivants : (associez les éléments en les déplaçant verticalement)</w:t>
      </w:r>
    </w:p>
    <w:p w14:paraId="60D7997C" w14:textId="77777777" w:rsidR="00A22E4A" w:rsidRDefault="00A22E4A" w:rsidP="00324795">
      <w:pPr>
        <w:pBdr>
          <w:top w:val="single" w:sz="4" w:space="1" w:color="auto"/>
          <w:left w:val="single" w:sz="4" w:space="1" w:color="auto"/>
          <w:bottom w:val="single" w:sz="4" w:space="1" w:color="auto"/>
          <w:right w:val="single" w:sz="4" w:space="1" w:color="auto"/>
        </w:pBdr>
        <w:spacing w:after="0" w:line="240" w:lineRule="auto"/>
      </w:pPr>
    </w:p>
    <w:p w14:paraId="4A282142" w14:textId="77777777" w:rsidR="00C25626" w:rsidRDefault="00C25626" w:rsidP="00324795">
      <w:pPr>
        <w:pBdr>
          <w:top w:val="single" w:sz="4" w:space="1" w:color="auto"/>
          <w:left w:val="single" w:sz="4" w:space="1" w:color="auto"/>
          <w:bottom w:val="single" w:sz="4" w:space="1" w:color="auto"/>
          <w:right w:val="single" w:sz="4" w:space="1" w:color="auto"/>
        </w:pBdr>
        <w:spacing w:after="0" w:line="240" w:lineRule="auto"/>
      </w:pPr>
      <w:r>
        <w:rPr>
          <w:noProof/>
          <w:lang w:eastAsia="fr-FR"/>
        </w:rPr>
        <w:drawing>
          <wp:inline distT="0" distB="0" distL="0" distR="0" wp14:anchorId="76C04CF3" wp14:editId="4A5503C8">
            <wp:extent cx="5759450" cy="749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749300"/>
                    </a:xfrm>
                    <a:prstGeom prst="rect">
                      <a:avLst/>
                    </a:prstGeom>
                    <a:noFill/>
                    <a:ln>
                      <a:noFill/>
                    </a:ln>
                  </pic:spPr>
                </pic:pic>
              </a:graphicData>
            </a:graphic>
          </wp:inline>
        </w:drawing>
      </w:r>
    </w:p>
    <w:p w14:paraId="0090BA72" w14:textId="77777777" w:rsidR="00A22E4A" w:rsidRDefault="00A22E4A" w:rsidP="00324795">
      <w:pPr>
        <w:pBdr>
          <w:top w:val="single" w:sz="4" w:space="1" w:color="auto"/>
          <w:left w:val="single" w:sz="4" w:space="1" w:color="auto"/>
          <w:bottom w:val="single" w:sz="4" w:space="1" w:color="auto"/>
          <w:right w:val="single" w:sz="4" w:space="1" w:color="auto"/>
        </w:pBdr>
        <w:spacing w:after="0" w:line="240" w:lineRule="auto"/>
      </w:pPr>
    </w:p>
    <w:p w14:paraId="4B4D563E" w14:textId="77777777" w:rsidR="00C25626" w:rsidRDefault="00C25626" w:rsidP="00324795">
      <w:pPr>
        <w:pBdr>
          <w:top w:val="single" w:sz="4" w:space="1" w:color="auto"/>
          <w:left w:val="single" w:sz="4" w:space="1" w:color="auto"/>
          <w:bottom w:val="single" w:sz="4" w:space="1" w:color="auto"/>
          <w:right w:val="single" w:sz="4" w:space="1" w:color="auto"/>
        </w:pBdr>
        <w:spacing w:after="0" w:line="240" w:lineRule="auto"/>
        <w:rPr>
          <w:b/>
        </w:rPr>
      </w:pPr>
      <w:r>
        <w:rPr>
          <w:b/>
        </w:rPr>
        <w:t>Question 4 : Complétez le texte suivant :</w:t>
      </w:r>
    </w:p>
    <w:p w14:paraId="70F27684" w14:textId="77777777" w:rsidR="00A22E4A" w:rsidRDefault="00A22E4A" w:rsidP="00324795">
      <w:pPr>
        <w:pBdr>
          <w:top w:val="single" w:sz="4" w:space="1" w:color="auto"/>
          <w:left w:val="single" w:sz="4" w:space="1" w:color="auto"/>
          <w:bottom w:val="single" w:sz="4" w:space="1" w:color="auto"/>
          <w:right w:val="single" w:sz="4" w:space="1" w:color="auto"/>
        </w:pBdr>
        <w:spacing w:after="0" w:line="240" w:lineRule="auto"/>
        <w:rPr>
          <w:b/>
        </w:rPr>
      </w:pPr>
    </w:p>
    <w:p w14:paraId="20B9A422" w14:textId="77777777" w:rsidR="00C25626" w:rsidRDefault="00C25626" w:rsidP="00324795">
      <w:pPr>
        <w:pBdr>
          <w:top w:val="single" w:sz="4" w:space="1" w:color="auto"/>
          <w:left w:val="single" w:sz="4" w:space="1" w:color="auto"/>
          <w:bottom w:val="single" w:sz="4" w:space="1" w:color="auto"/>
          <w:right w:val="single" w:sz="4" w:space="1" w:color="auto"/>
        </w:pBdr>
        <w:spacing w:after="0" w:line="240" w:lineRule="auto"/>
        <w:jc w:val="both"/>
      </w:pPr>
      <w:r w:rsidRPr="00C25626">
        <w:t xml:space="preserve">En temps normal, sur le marché aux enchères, environ </w:t>
      </w:r>
      <w:r>
        <w:t>(</w:t>
      </w:r>
      <w:r w:rsidRPr="00C25626">
        <w:t>60</w:t>
      </w:r>
      <w:r>
        <w:t>)</w:t>
      </w:r>
      <w:r w:rsidRPr="00C25626">
        <w:t xml:space="preserve"> bêtes sont offertes chaque jour pour un prix au kilo de </w:t>
      </w:r>
      <w:r>
        <w:t>(</w:t>
      </w:r>
      <w:r w:rsidRPr="00C25626">
        <w:t>1,80</w:t>
      </w:r>
      <w:r>
        <w:t>)</w:t>
      </w:r>
      <w:r w:rsidRPr="00C25626">
        <w:t xml:space="preserve"> euro. Mais avec la sécheresse c'est aujourd'hui environ </w:t>
      </w:r>
      <w:r>
        <w:t>(</w:t>
      </w:r>
      <w:r w:rsidRPr="00C25626">
        <w:t>100</w:t>
      </w:r>
      <w:r>
        <w:t>)</w:t>
      </w:r>
      <w:r w:rsidRPr="00C25626">
        <w:t xml:space="preserve"> bêtes qui sont offertes pour un prix de </w:t>
      </w:r>
      <w:r>
        <w:t>(</w:t>
      </w:r>
      <w:r w:rsidRPr="00C25626">
        <w:t>1,55</w:t>
      </w:r>
      <w:r>
        <w:t>)</w:t>
      </w:r>
      <w:r w:rsidRPr="00C25626">
        <w:t xml:space="preserve"> euro. Cela correspond à une diminution de </w:t>
      </w:r>
      <w:r>
        <w:t>(</w:t>
      </w:r>
      <w:r w:rsidRPr="00C25626">
        <w:t>25</w:t>
      </w:r>
      <w:r>
        <w:t>)</w:t>
      </w:r>
      <w:r w:rsidRPr="00C25626">
        <w:t xml:space="preserve"> centimes par kilo.</w:t>
      </w:r>
    </w:p>
    <w:p w14:paraId="0CDA81B3" w14:textId="77777777" w:rsidR="00A22E4A" w:rsidRPr="00C25626" w:rsidRDefault="00A22E4A" w:rsidP="00324795">
      <w:pPr>
        <w:pBdr>
          <w:top w:val="single" w:sz="4" w:space="1" w:color="auto"/>
          <w:left w:val="single" w:sz="4" w:space="1" w:color="auto"/>
          <w:bottom w:val="single" w:sz="4" w:space="1" w:color="auto"/>
          <w:right w:val="single" w:sz="4" w:space="1" w:color="auto"/>
        </w:pBdr>
        <w:spacing w:after="0" w:line="240" w:lineRule="auto"/>
        <w:jc w:val="both"/>
      </w:pPr>
    </w:p>
    <w:p w14:paraId="35AE5F3C" w14:textId="77777777" w:rsidR="00B57BEB" w:rsidRDefault="00B57BEB" w:rsidP="00324795">
      <w:pPr>
        <w:pBdr>
          <w:top w:val="single" w:sz="4" w:space="1" w:color="auto"/>
          <w:left w:val="single" w:sz="4" w:space="1" w:color="auto"/>
          <w:bottom w:val="single" w:sz="4" w:space="1" w:color="auto"/>
          <w:right w:val="single" w:sz="4" w:space="1" w:color="auto"/>
        </w:pBdr>
        <w:spacing w:after="0" w:line="240" w:lineRule="auto"/>
      </w:pPr>
      <w:r w:rsidRPr="00AF3F5A">
        <w:rPr>
          <w:b/>
        </w:rPr>
        <w:t>Question 4</w:t>
      </w:r>
      <w:r>
        <w:t xml:space="preserve"> : </w:t>
      </w:r>
      <w:r w:rsidR="00AF3F5A">
        <w:t>Expliquez la baisse du prix en utilisant la loi de l’offre et de la demande.</w:t>
      </w:r>
    </w:p>
    <w:p w14:paraId="7D8844E7" w14:textId="77777777" w:rsidR="00A22E4A" w:rsidRDefault="00A22E4A" w:rsidP="00324795">
      <w:pPr>
        <w:pBdr>
          <w:top w:val="single" w:sz="4" w:space="1" w:color="auto"/>
          <w:left w:val="single" w:sz="4" w:space="1" w:color="auto"/>
          <w:bottom w:val="single" w:sz="4" w:space="1" w:color="auto"/>
          <w:right w:val="single" w:sz="4" w:space="1" w:color="auto"/>
        </w:pBdr>
        <w:spacing w:after="0" w:line="240" w:lineRule="auto"/>
        <w:rPr>
          <w:b/>
        </w:rPr>
      </w:pPr>
    </w:p>
    <w:p w14:paraId="6FC85663" w14:textId="77777777" w:rsidR="005938C4" w:rsidRDefault="005938C4" w:rsidP="00324795">
      <w:pPr>
        <w:spacing w:after="0" w:line="240" w:lineRule="auto"/>
        <w:rPr>
          <w:b/>
          <w:color w:val="FF0000"/>
        </w:rPr>
      </w:pPr>
    </w:p>
    <w:p w14:paraId="73A7198F" w14:textId="77777777" w:rsidR="00A22E4A" w:rsidRDefault="0076148A" w:rsidP="00324795">
      <w:pPr>
        <w:spacing w:after="0" w:line="240" w:lineRule="auto"/>
        <w:rPr>
          <w:bCs/>
        </w:rPr>
      </w:pPr>
      <w:r w:rsidRPr="0076148A">
        <w:rPr>
          <w:bCs/>
        </w:rPr>
        <w:t>L’</w:t>
      </w:r>
      <w:r>
        <w:rPr>
          <w:bCs/>
        </w:rPr>
        <w:t>exercice</w:t>
      </w:r>
      <w:r w:rsidRPr="0076148A">
        <w:rPr>
          <w:bCs/>
        </w:rPr>
        <w:t xml:space="preserve"> est corrigé en classe en début de séance</w:t>
      </w:r>
      <w:r>
        <w:rPr>
          <w:bCs/>
        </w:rPr>
        <w:t xml:space="preserve">. </w:t>
      </w:r>
    </w:p>
    <w:p w14:paraId="6C8C7E0E" w14:textId="77777777" w:rsidR="00D910E3" w:rsidRDefault="00D910E3" w:rsidP="00324795">
      <w:pPr>
        <w:spacing w:after="0" w:line="240" w:lineRule="auto"/>
        <w:rPr>
          <w:bCs/>
        </w:rPr>
      </w:pPr>
    </w:p>
    <w:p w14:paraId="64CCC9B5" w14:textId="77777777" w:rsidR="00D910E3" w:rsidRPr="00D910E3" w:rsidRDefault="00D910E3" w:rsidP="00D910E3">
      <w:pPr>
        <w:spacing w:after="0" w:line="240" w:lineRule="auto"/>
        <w:jc w:val="center"/>
        <w:rPr>
          <w:bCs/>
          <w:color w:val="C00000"/>
          <w:sz w:val="32"/>
          <w:szCs w:val="32"/>
        </w:rPr>
      </w:pPr>
      <w:r w:rsidRPr="00D910E3">
        <w:rPr>
          <w:bCs/>
          <w:color w:val="C00000"/>
          <w:sz w:val="32"/>
          <w:szCs w:val="32"/>
        </w:rPr>
        <w:t>* * *</w:t>
      </w:r>
    </w:p>
    <w:p w14:paraId="1F6310E1" w14:textId="77777777" w:rsidR="00C25626" w:rsidRDefault="00D910E3" w:rsidP="00D910E3">
      <w:pPr>
        <w:rPr>
          <w:b/>
        </w:rPr>
      </w:pPr>
      <w:r>
        <w:rPr>
          <w:b/>
          <w:color w:val="FFFFFF" w:themeColor="background1"/>
          <w:shd w:val="clear" w:color="auto" w:fill="C00000"/>
        </w:rPr>
        <w:br w:type="page"/>
      </w:r>
      <w:r w:rsidR="00C25626" w:rsidRPr="0076148A">
        <w:rPr>
          <w:b/>
          <w:color w:val="FFFFFF" w:themeColor="background1"/>
          <w:shd w:val="clear" w:color="auto" w:fill="C00000"/>
        </w:rPr>
        <w:lastRenderedPageBreak/>
        <w:t>Activité 2</w:t>
      </w:r>
      <w:r w:rsidR="00C25626" w:rsidRPr="0076148A">
        <w:rPr>
          <w:color w:val="FFFFFF" w:themeColor="background1"/>
          <w:shd w:val="clear" w:color="auto" w:fill="C00000"/>
        </w:rPr>
        <w:t> </w:t>
      </w:r>
      <w:r w:rsidR="00C25626" w:rsidRPr="0076148A">
        <w:rPr>
          <w:b/>
          <w:color w:val="FFFFFF" w:themeColor="background1"/>
          <w:shd w:val="clear" w:color="auto" w:fill="C00000"/>
        </w:rPr>
        <w:t>:</w:t>
      </w:r>
      <w:r w:rsidR="00C25626" w:rsidRPr="0076148A">
        <w:rPr>
          <w:b/>
          <w:color w:val="FFFFFF" w:themeColor="background1"/>
          <w:shd w:val="clear" w:color="auto" w:fill="E7E6E6" w:themeFill="background2"/>
        </w:rPr>
        <w:t xml:space="preserve"> </w:t>
      </w:r>
      <w:r w:rsidR="0009231F" w:rsidRPr="0076148A">
        <w:rPr>
          <w:b/>
          <w:shd w:val="clear" w:color="auto" w:fill="E7E6E6" w:themeFill="background2"/>
        </w:rPr>
        <w:t>Modélisation du déplacement de la courbe d’offre vers la droite.</w:t>
      </w:r>
    </w:p>
    <w:p w14:paraId="368B3F56" w14:textId="77777777" w:rsidR="00A22E4A" w:rsidRDefault="00A22E4A" w:rsidP="00324795">
      <w:pPr>
        <w:spacing w:after="0" w:line="240" w:lineRule="auto"/>
        <w:jc w:val="both"/>
      </w:pPr>
    </w:p>
    <w:p w14:paraId="1709978B" w14:textId="77777777" w:rsidR="00154C2D" w:rsidRPr="00A57670" w:rsidRDefault="0009231F" w:rsidP="00324795">
      <w:pPr>
        <w:spacing w:after="0" w:line="240" w:lineRule="auto"/>
        <w:jc w:val="both"/>
        <w:rPr>
          <w:i/>
          <w:iCs/>
        </w:rPr>
      </w:pPr>
      <w:r w:rsidRPr="00A57670">
        <w:rPr>
          <w:i/>
          <w:iCs/>
        </w:rPr>
        <w:t xml:space="preserve">On suppose que le marché au cadran est un marché concurrentiel où les agents sont preneurs de prix. </w:t>
      </w:r>
      <w:r w:rsidR="008F0088" w:rsidRPr="00A57670">
        <w:rPr>
          <w:i/>
          <w:iCs/>
        </w:rPr>
        <w:t xml:space="preserve">Le graphique proposé ci-dessous </w:t>
      </w:r>
      <w:r w:rsidR="00821439" w:rsidRPr="00A57670">
        <w:rPr>
          <w:i/>
          <w:iCs/>
        </w:rPr>
        <w:t xml:space="preserve">représente une modélisation de la situation observée sur le marché. </w:t>
      </w:r>
    </w:p>
    <w:p w14:paraId="6607660B" w14:textId="77777777" w:rsidR="0009231F" w:rsidRPr="0009231F" w:rsidRDefault="0009231F" w:rsidP="00324795">
      <w:pPr>
        <w:spacing w:after="0" w:line="240" w:lineRule="auto"/>
      </w:pPr>
    </w:p>
    <w:p w14:paraId="44E296D4" w14:textId="77777777" w:rsidR="00230017" w:rsidRDefault="00703B2A" w:rsidP="00324795">
      <w:pPr>
        <w:spacing w:after="0" w:line="240" w:lineRule="auto"/>
        <w:jc w:val="center"/>
        <w:rPr>
          <w:b/>
        </w:rPr>
      </w:pPr>
      <w:r>
        <w:rPr>
          <w:b/>
        </w:rPr>
        <w:t xml:space="preserve">Modélisation d’une augmentation </w:t>
      </w:r>
      <w:r w:rsidR="0009231F">
        <w:rPr>
          <w:b/>
        </w:rPr>
        <w:t>de l’offre sur le marché au cadran</w:t>
      </w:r>
    </w:p>
    <w:p w14:paraId="43C10CE5" w14:textId="77777777" w:rsidR="00703B2A" w:rsidRDefault="00EA0993" w:rsidP="00324795">
      <w:pPr>
        <w:spacing w:after="0" w:line="240" w:lineRule="auto"/>
        <w:jc w:val="center"/>
        <w:rPr>
          <w:b/>
        </w:rPr>
      </w:pPr>
      <w:r>
        <w:rPr>
          <w:noProof/>
          <w:lang w:eastAsia="fr-FR"/>
        </w:rPr>
        <mc:AlternateContent>
          <mc:Choice Requires="wps">
            <w:drawing>
              <wp:anchor distT="0" distB="0" distL="114300" distR="114300" simplePos="0" relativeHeight="251664384" behindDoc="0" locked="0" layoutInCell="1" allowOverlap="1" wp14:anchorId="3A7EF316" wp14:editId="33406E42">
                <wp:simplePos x="0" y="0"/>
                <wp:positionH relativeFrom="column">
                  <wp:posOffset>3670300</wp:posOffset>
                </wp:positionH>
                <wp:positionV relativeFrom="paragraph">
                  <wp:posOffset>527050</wp:posOffset>
                </wp:positionV>
                <wp:extent cx="844550" cy="203200"/>
                <wp:effectExtent l="0" t="19050" r="12700" b="25400"/>
                <wp:wrapNone/>
                <wp:docPr id="5" name="Flèche : droit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550" cy="203200"/>
                        </a:xfrm>
                        <a:prstGeom prst="rightArrow">
                          <a:avLst/>
                        </a:prstGeom>
                        <a:solidFill>
                          <a:srgbClr val="FF0000"/>
                        </a:solidFill>
                        <a:ln>
                          <a:solidFill>
                            <a:srgbClr val="FF0000"/>
                          </a:solidFill>
                        </a:ln>
                      </wps:spPr>
                      <wps:style>
                        <a:lnRef idx="1">
                          <a:schemeClr val="accent2"/>
                        </a:lnRef>
                        <a:fillRef idx="3">
                          <a:schemeClr val="accent2"/>
                        </a:fillRef>
                        <a:effectRef idx="2">
                          <a:schemeClr val="accent2"/>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B6D0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 o:spid="_x0000_s1026" type="#_x0000_t13" style="position:absolute;margin-left:289pt;margin-top:41.5pt;width:66.5pt;height: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" adj="19002" fillcolor="red" strokecolor="red" strokeweight=".5pt">
                <v:path arrowok="t"/>
              </v:shape>
            </w:pict>
          </mc:Fallback>
        </mc:AlternateContent>
      </w:r>
      <w:r w:rsidR="00703B2A">
        <w:rPr>
          <w:noProof/>
          <w:lang w:eastAsia="fr-FR"/>
        </w:rPr>
        <w:drawing>
          <wp:inline distT="0" distB="0" distL="0" distR="0" wp14:anchorId="49D29698" wp14:editId="2EE81D09">
            <wp:extent cx="5600699" cy="2743200"/>
            <wp:effectExtent l="0" t="0" r="635" b="0"/>
            <wp:docPr id="2" name="Graphique 2">
              <a:extLst xmlns:a="http://schemas.openxmlformats.org/drawingml/2006/main">
                <a:ext uri="{FF2B5EF4-FFF2-40B4-BE49-F238E27FC236}">
                  <a16:creationId xmlns:a16="http://schemas.microsoft.com/office/drawing/2014/main" id="{FB29635A-1358-4C81-A11E-1DDDC60BE3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188AC6" w14:textId="77777777" w:rsidR="00703B2A" w:rsidRDefault="00703B2A" w:rsidP="00324795">
      <w:pPr>
        <w:spacing w:after="0" w:line="240" w:lineRule="auto"/>
        <w:jc w:val="both"/>
        <w:rPr>
          <w:b/>
        </w:rPr>
      </w:pPr>
    </w:p>
    <w:p w14:paraId="2890C91D" w14:textId="77777777" w:rsidR="00D910E3" w:rsidRDefault="00D910E3" w:rsidP="00324795">
      <w:pPr>
        <w:spacing w:after="0" w:line="240" w:lineRule="auto"/>
        <w:jc w:val="both"/>
        <w:rPr>
          <w:b/>
        </w:rPr>
      </w:pPr>
    </w:p>
    <w:p w14:paraId="558028B0" w14:textId="77777777" w:rsidR="00F44EE6" w:rsidRDefault="00230017" w:rsidP="00324795">
      <w:pPr>
        <w:spacing w:after="0" w:line="240" w:lineRule="auto"/>
        <w:jc w:val="both"/>
      </w:pPr>
      <w:r>
        <w:rPr>
          <w:b/>
        </w:rPr>
        <w:t xml:space="preserve">Question 1 : </w:t>
      </w:r>
      <w:r>
        <w:t>Identifier à qui correspondent les trois courbes en plaçant sur le graphique les expressions suivantes : demande, offre (avant la sécheresse) offre (après la sécheresse).</w:t>
      </w:r>
    </w:p>
    <w:p w14:paraId="30A5C8E5" w14:textId="77777777" w:rsidR="00A57670" w:rsidRDefault="00A57670" w:rsidP="00324795">
      <w:pPr>
        <w:spacing w:after="0" w:line="240" w:lineRule="auto"/>
        <w:jc w:val="both"/>
      </w:pPr>
    </w:p>
    <w:p w14:paraId="6318D4AD" w14:textId="77777777" w:rsidR="00230017" w:rsidRDefault="00230017" w:rsidP="00324795">
      <w:pPr>
        <w:spacing w:after="0" w:line="240" w:lineRule="auto"/>
        <w:jc w:val="both"/>
      </w:pPr>
      <w:r w:rsidRPr="00230017">
        <w:rPr>
          <w:b/>
        </w:rPr>
        <w:t>Question 2</w:t>
      </w:r>
      <w:r>
        <w:t> : Pour chaque niveau de prix, quelle est</w:t>
      </w:r>
      <w:r w:rsidR="00B10B2C">
        <w:t xml:space="preserve"> approximativement</w:t>
      </w:r>
      <w:r>
        <w:t xml:space="preserve"> la hausse de la quantité offerte par les éleveurs ?</w:t>
      </w:r>
    </w:p>
    <w:p w14:paraId="4AA3E8BC" w14:textId="77777777" w:rsidR="00A57670" w:rsidRDefault="00A57670" w:rsidP="00324795">
      <w:pPr>
        <w:spacing w:after="0" w:line="240" w:lineRule="auto"/>
        <w:jc w:val="both"/>
      </w:pPr>
    </w:p>
    <w:p w14:paraId="0D243FC1" w14:textId="77777777" w:rsidR="00230017" w:rsidRDefault="00230017" w:rsidP="00324795">
      <w:pPr>
        <w:spacing w:after="0" w:line="240" w:lineRule="auto"/>
        <w:jc w:val="both"/>
      </w:pPr>
      <w:r w:rsidRPr="00230017">
        <w:rPr>
          <w:b/>
        </w:rPr>
        <w:t>Question 3</w:t>
      </w:r>
      <w:r>
        <w:t> : Dans quel sens la courbe d’offre s’est-elle déplacée ?</w:t>
      </w:r>
    </w:p>
    <w:p w14:paraId="42AE7F38" w14:textId="77777777" w:rsidR="00A57670" w:rsidRDefault="00A57670" w:rsidP="00324795">
      <w:pPr>
        <w:spacing w:after="0" w:line="240" w:lineRule="auto"/>
        <w:jc w:val="both"/>
      </w:pPr>
    </w:p>
    <w:p w14:paraId="3B535259" w14:textId="77777777" w:rsidR="00230017" w:rsidRDefault="00230017" w:rsidP="00324795">
      <w:pPr>
        <w:spacing w:after="0" w:line="240" w:lineRule="auto"/>
        <w:jc w:val="both"/>
      </w:pPr>
      <w:r w:rsidRPr="00930CAF">
        <w:rPr>
          <w:b/>
        </w:rPr>
        <w:t>Question 4</w:t>
      </w:r>
      <w:r>
        <w:t> : Quels sont les effets du déplacement de la courbe d’offre sur le prix et les quantités échangées ?</w:t>
      </w:r>
    </w:p>
    <w:p w14:paraId="068AF35B" w14:textId="77777777" w:rsidR="00A57670" w:rsidRPr="00230017" w:rsidRDefault="00A57670" w:rsidP="00324795">
      <w:pPr>
        <w:spacing w:after="0" w:line="240" w:lineRule="auto"/>
        <w:jc w:val="both"/>
      </w:pPr>
    </w:p>
    <w:p w14:paraId="1BA6A76D" w14:textId="77777777" w:rsidR="00EB0B1F" w:rsidRDefault="00930CAF" w:rsidP="00324795">
      <w:pPr>
        <w:spacing w:after="0" w:line="240" w:lineRule="auto"/>
      </w:pPr>
      <w:r>
        <w:rPr>
          <w:b/>
        </w:rPr>
        <w:t>Question 5</w:t>
      </w:r>
      <w:r w:rsidR="00B10B2C">
        <w:rPr>
          <w:b/>
        </w:rPr>
        <w:t xml:space="preserve"> (synthèse)</w:t>
      </w:r>
      <w:r>
        <w:rPr>
          <w:b/>
        </w:rPr>
        <w:t xml:space="preserve"> : </w:t>
      </w:r>
      <w:r w:rsidR="00C22F44">
        <w:t>Barrer les propositions fausses</w:t>
      </w:r>
      <w:r w:rsidRPr="00930CAF">
        <w:t> :</w:t>
      </w:r>
    </w:p>
    <w:p w14:paraId="6371D15E" w14:textId="77777777" w:rsidR="00A57670" w:rsidRDefault="00A57670" w:rsidP="00324795">
      <w:pPr>
        <w:spacing w:after="0" w:line="240" w:lineRule="auto"/>
        <w:rPr>
          <w:b/>
        </w:rPr>
      </w:pPr>
    </w:p>
    <w:p w14:paraId="2079FC03" w14:textId="77777777" w:rsidR="00930CAF" w:rsidRDefault="00930CAF" w:rsidP="00324795">
      <w:pPr>
        <w:spacing w:after="0" w:line="240" w:lineRule="auto"/>
        <w:jc w:val="both"/>
      </w:pPr>
      <w:r w:rsidRPr="00930CAF">
        <w:t xml:space="preserve">Suite à la sécheresse </w:t>
      </w:r>
      <w:r>
        <w:t>ayant</w:t>
      </w:r>
      <w:r w:rsidRPr="00930CAF">
        <w:t xml:space="preserve"> entraîné </w:t>
      </w:r>
      <w:r>
        <w:t xml:space="preserve">une forte hausse du prix du foin, les éleveurs ont souhaité réduire la taille de leur troupeau. Cela a entraîné une </w:t>
      </w:r>
      <w:r w:rsidRPr="00C22F44">
        <w:rPr>
          <w:i/>
        </w:rPr>
        <w:t>hausse</w:t>
      </w:r>
      <w:r w:rsidR="00C22F44" w:rsidRPr="00C22F44">
        <w:rPr>
          <w:i/>
        </w:rPr>
        <w:t>/baisse</w:t>
      </w:r>
      <w:r>
        <w:t xml:space="preserve"> de la quantité de bovins offerte pour chaque niveau de prix (déplacement de la courbe d’offre vers la </w:t>
      </w:r>
      <w:r w:rsidR="00C22F44" w:rsidRPr="00C22F44">
        <w:rPr>
          <w:i/>
        </w:rPr>
        <w:t>gauche/</w:t>
      </w:r>
      <w:r w:rsidRPr="00C22F44">
        <w:rPr>
          <w:i/>
        </w:rPr>
        <w:t>droite</w:t>
      </w:r>
      <w:r>
        <w:t xml:space="preserve">). </w:t>
      </w:r>
      <w:r w:rsidR="00C22F44">
        <w:t xml:space="preserve">Pour que le marché soit à nouveau en équilibre, il a fallu que le prix </w:t>
      </w:r>
      <w:r w:rsidR="00C22F44" w:rsidRPr="00C22F44">
        <w:rPr>
          <w:i/>
        </w:rPr>
        <w:t>diminue/augmente</w:t>
      </w:r>
      <w:r w:rsidR="00C22F44">
        <w:t xml:space="preserve">, ce qui a entraîné une </w:t>
      </w:r>
      <w:r w:rsidR="00C22F44" w:rsidRPr="00C22F44">
        <w:rPr>
          <w:i/>
        </w:rPr>
        <w:t>hausse/baisse</w:t>
      </w:r>
      <w:r w:rsidR="00C22F44">
        <w:t xml:space="preserve"> de la demande (déplacement vers la droite le long de la courbe de demande). Le nouvel équilibre du marché est caractérisé par un prix plus </w:t>
      </w:r>
      <w:r w:rsidR="00C22F44" w:rsidRPr="00C22F44">
        <w:rPr>
          <w:i/>
        </w:rPr>
        <w:t>bas/haut</w:t>
      </w:r>
      <w:r w:rsidR="00C22F44">
        <w:t xml:space="preserve"> et des quantités échangées plus </w:t>
      </w:r>
      <w:r w:rsidR="00C22F44" w:rsidRPr="00C22F44">
        <w:rPr>
          <w:i/>
        </w:rPr>
        <w:t>faibles/importantes</w:t>
      </w:r>
      <w:r w:rsidR="00C22F44">
        <w:t>.</w:t>
      </w:r>
      <w:r>
        <w:t xml:space="preserve">  </w:t>
      </w:r>
    </w:p>
    <w:p w14:paraId="02C5B20C" w14:textId="77777777" w:rsidR="00D910E3" w:rsidRDefault="00D910E3" w:rsidP="00324795">
      <w:pPr>
        <w:spacing w:after="0" w:line="240" w:lineRule="auto"/>
        <w:jc w:val="both"/>
      </w:pPr>
    </w:p>
    <w:p w14:paraId="754C1740" w14:textId="77777777" w:rsidR="00D910E3" w:rsidRDefault="00D910E3" w:rsidP="00324795">
      <w:pPr>
        <w:spacing w:after="0" w:line="240" w:lineRule="auto"/>
        <w:jc w:val="both"/>
      </w:pPr>
    </w:p>
    <w:p w14:paraId="0324E87E" w14:textId="77777777" w:rsidR="00D910E3" w:rsidRDefault="00D910E3" w:rsidP="00324795">
      <w:pPr>
        <w:spacing w:after="0" w:line="240" w:lineRule="auto"/>
        <w:jc w:val="both"/>
      </w:pPr>
    </w:p>
    <w:p w14:paraId="39F7E617" w14:textId="77777777" w:rsidR="00D910E3" w:rsidRPr="00D910E3" w:rsidRDefault="00D910E3" w:rsidP="00D910E3">
      <w:pPr>
        <w:spacing w:after="0" w:line="240" w:lineRule="auto"/>
        <w:jc w:val="center"/>
        <w:rPr>
          <w:bCs/>
          <w:color w:val="C00000"/>
          <w:sz w:val="32"/>
          <w:szCs w:val="32"/>
        </w:rPr>
      </w:pPr>
      <w:r w:rsidRPr="00D910E3">
        <w:rPr>
          <w:bCs/>
          <w:color w:val="C00000"/>
          <w:sz w:val="32"/>
          <w:szCs w:val="32"/>
        </w:rPr>
        <w:t>* * *</w:t>
      </w:r>
    </w:p>
    <w:p w14:paraId="7642E2A9" w14:textId="77777777" w:rsidR="00D910E3" w:rsidRDefault="00D910E3" w:rsidP="00324795">
      <w:pPr>
        <w:spacing w:after="0" w:line="240" w:lineRule="auto"/>
        <w:jc w:val="both"/>
      </w:pPr>
    </w:p>
    <w:p w14:paraId="7EFE6A39" w14:textId="77777777" w:rsidR="005D1687" w:rsidRDefault="005D1687" w:rsidP="00324795">
      <w:pPr>
        <w:spacing w:after="0" w:line="240" w:lineRule="auto"/>
        <w:jc w:val="both"/>
        <w:rPr>
          <w:b/>
          <w:color w:val="FF0000"/>
        </w:rPr>
      </w:pPr>
    </w:p>
    <w:p w14:paraId="013DFE3A" w14:textId="77777777" w:rsidR="00A57670" w:rsidRDefault="00A57670" w:rsidP="00324795">
      <w:pPr>
        <w:spacing w:after="0" w:line="240" w:lineRule="auto"/>
        <w:jc w:val="both"/>
        <w:rPr>
          <w:b/>
          <w:color w:val="FF0000"/>
        </w:rPr>
      </w:pPr>
    </w:p>
    <w:p w14:paraId="424EB1BD" w14:textId="77777777" w:rsidR="00D910E3" w:rsidRDefault="00D910E3">
      <w:pPr>
        <w:rPr>
          <w:b/>
          <w:color w:val="FFFFFF" w:themeColor="background1"/>
          <w:shd w:val="clear" w:color="auto" w:fill="C00000"/>
        </w:rPr>
      </w:pPr>
      <w:r>
        <w:rPr>
          <w:b/>
          <w:color w:val="FFFFFF" w:themeColor="background1"/>
          <w:shd w:val="clear" w:color="auto" w:fill="C00000"/>
        </w:rPr>
        <w:br w:type="page"/>
      </w:r>
    </w:p>
    <w:p w14:paraId="6005821E" w14:textId="77777777" w:rsidR="004D4F27" w:rsidRDefault="004D4F27" w:rsidP="0076148A">
      <w:pPr>
        <w:shd w:val="clear" w:color="auto" w:fill="FFFFFF" w:themeFill="background1"/>
        <w:spacing w:after="0" w:line="240" w:lineRule="auto"/>
        <w:jc w:val="both"/>
        <w:rPr>
          <w:b/>
        </w:rPr>
      </w:pPr>
      <w:r w:rsidRPr="0076148A">
        <w:rPr>
          <w:b/>
          <w:color w:val="FFFFFF" w:themeColor="background1"/>
          <w:shd w:val="clear" w:color="auto" w:fill="C00000"/>
        </w:rPr>
        <w:lastRenderedPageBreak/>
        <w:t>Activité 3</w:t>
      </w:r>
      <w:r w:rsidR="005F5F0C" w:rsidRPr="0076148A">
        <w:rPr>
          <w:b/>
          <w:color w:val="FFFFFF" w:themeColor="background1"/>
          <w:shd w:val="clear" w:color="auto" w:fill="C00000"/>
        </w:rPr>
        <w:t xml:space="preserve"> </w:t>
      </w:r>
      <w:r w:rsidRPr="0076148A">
        <w:rPr>
          <w:b/>
          <w:color w:val="FFFFFF" w:themeColor="background1"/>
          <w:shd w:val="clear" w:color="auto" w:fill="C00000"/>
        </w:rPr>
        <w:t>:</w:t>
      </w:r>
      <w:r w:rsidRPr="0076148A">
        <w:rPr>
          <w:b/>
          <w:color w:val="FFFFFF" w:themeColor="background1"/>
          <w:shd w:val="clear" w:color="auto" w:fill="E7E6E6" w:themeFill="background2"/>
        </w:rPr>
        <w:t xml:space="preserve"> </w:t>
      </w:r>
      <w:r w:rsidRPr="0076148A">
        <w:rPr>
          <w:b/>
          <w:shd w:val="clear" w:color="auto" w:fill="E7E6E6" w:themeFill="background2"/>
        </w:rPr>
        <w:t>L’effet d’une taxe forfaitaire sur l</w:t>
      </w:r>
      <w:r w:rsidR="0020387F">
        <w:rPr>
          <w:b/>
          <w:shd w:val="clear" w:color="auto" w:fill="E7E6E6" w:themeFill="background2"/>
        </w:rPr>
        <w:t>es demandeurs.</w:t>
      </w:r>
    </w:p>
    <w:p w14:paraId="4E5D91C3" w14:textId="77777777" w:rsidR="00A57670" w:rsidRDefault="00A57670" w:rsidP="00324795">
      <w:pPr>
        <w:spacing w:after="0" w:line="240" w:lineRule="auto"/>
        <w:jc w:val="both"/>
      </w:pPr>
    </w:p>
    <w:p w14:paraId="76ADD003" w14:textId="478FE7E6" w:rsidR="005D1687" w:rsidRPr="00A57670" w:rsidRDefault="005D1687" w:rsidP="00324795">
      <w:pPr>
        <w:spacing w:after="0" w:line="240" w:lineRule="auto"/>
        <w:jc w:val="both"/>
        <w:rPr>
          <w:i/>
          <w:iCs/>
        </w:rPr>
      </w:pPr>
      <w:r w:rsidRPr="00A57670">
        <w:rPr>
          <w:i/>
          <w:iCs/>
        </w:rPr>
        <w:t xml:space="preserve">Pour des raisons de santé publique, le ministère de la santé souhaite réduire la consommation de viande rouge et </w:t>
      </w:r>
      <w:r w:rsidR="00DB0699">
        <w:rPr>
          <w:i/>
          <w:iCs/>
        </w:rPr>
        <w:t>introduit</w:t>
      </w:r>
      <w:r w:rsidRPr="00A57670">
        <w:rPr>
          <w:i/>
          <w:iCs/>
        </w:rPr>
        <w:t xml:space="preserve"> une taxe forfaitaire</w:t>
      </w:r>
      <w:r w:rsidR="00DB0699">
        <w:rPr>
          <w:i/>
          <w:iCs/>
        </w:rPr>
        <w:t>. Désormais les consommateurs doivent envoyer à l’Etat 20 centimes par kilo de viande rouge acheté.</w:t>
      </w:r>
      <w:bookmarkStart w:id="0" w:name="_GoBack"/>
      <w:bookmarkEnd w:id="0"/>
    </w:p>
    <w:p w14:paraId="0511EBB2" w14:textId="77777777" w:rsidR="00A57670" w:rsidRDefault="00A57670" w:rsidP="00324795">
      <w:pPr>
        <w:spacing w:after="0" w:line="240" w:lineRule="auto"/>
        <w:jc w:val="both"/>
        <w:rPr>
          <w:b/>
          <w:bCs/>
          <w:color w:val="0070C0"/>
        </w:rPr>
      </w:pPr>
    </w:p>
    <w:p w14:paraId="1B8BAEA8" w14:textId="77777777" w:rsidR="00D910E3" w:rsidRDefault="00D910E3" w:rsidP="00324795">
      <w:pPr>
        <w:spacing w:after="0" w:line="240" w:lineRule="auto"/>
        <w:jc w:val="both"/>
        <w:rPr>
          <w:b/>
          <w:bCs/>
          <w:color w:val="0070C0"/>
        </w:rPr>
      </w:pPr>
    </w:p>
    <w:p w14:paraId="58B83633" w14:textId="77777777" w:rsidR="005D1687" w:rsidRPr="005D1687" w:rsidRDefault="005F5F0C" w:rsidP="00324795">
      <w:pPr>
        <w:spacing w:after="0" w:line="240" w:lineRule="auto"/>
        <w:jc w:val="both"/>
        <w:rPr>
          <w:bCs/>
        </w:rPr>
      </w:pPr>
      <w:r w:rsidRPr="005F5F0C">
        <w:rPr>
          <w:b/>
          <w:bCs/>
          <w:color w:val="0070C0"/>
        </w:rPr>
        <w:t>Etape 1</w:t>
      </w:r>
      <w:r>
        <w:rPr>
          <w:b/>
          <w:bCs/>
          <w:color w:val="0070C0"/>
        </w:rPr>
        <w:t xml:space="preserve"> : </w:t>
      </w:r>
      <w:r w:rsidR="005D1687" w:rsidRPr="005D1687">
        <w:rPr>
          <w:bCs/>
        </w:rPr>
        <w:t xml:space="preserve">L’enseignant </w:t>
      </w:r>
      <w:r w:rsidR="005D1687">
        <w:rPr>
          <w:bCs/>
        </w:rPr>
        <w:t>commence par expliquer, graphique à l’appui, les effets de l’introduction d’une taxe forfaitaire sur un marché concurrentiel (</w:t>
      </w:r>
      <w:r>
        <w:rPr>
          <w:bCs/>
        </w:rPr>
        <w:t>il peut s’aider des f</w:t>
      </w:r>
      <w:r w:rsidR="005D1687">
        <w:rPr>
          <w:bCs/>
        </w:rPr>
        <w:t xml:space="preserve">igures </w:t>
      </w:r>
      <w:r w:rsidR="002B73B5">
        <w:rPr>
          <w:bCs/>
        </w:rPr>
        <w:t>ci-dessous</w:t>
      </w:r>
      <w:r w:rsidR="005D1687">
        <w:rPr>
          <w:bCs/>
        </w:rPr>
        <w:t>)</w:t>
      </w:r>
      <w:r>
        <w:rPr>
          <w:bCs/>
        </w:rPr>
        <w:t>.</w:t>
      </w:r>
    </w:p>
    <w:p w14:paraId="2E043432" w14:textId="77777777" w:rsidR="005D1687" w:rsidRDefault="005D1687" w:rsidP="00324795">
      <w:pPr>
        <w:spacing w:after="0" w:line="240" w:lineRule="auto"/>
        <w:rPr>
          <w:b/>
        </w:rPr>
      </w:pPr>
      <w:r>
        <w:rPr>
          <w:b/>
          <w:noProof/>
          <w:lang w:eastAsia="fr-FR"/>
        </w:rPr>
        <mc:AlternateContent>
          <mc:Choice Requires="wps">
            <w:drawing>
              <wp:anchor distT="0" distB="0" distL="114300" distR="114300" simplePos="0" relativeHeight="251665408" behindDoc="0" locked="0" layoutInCell="1" allowOverlap="1" wp14:anchorId="19AEB79E" wp14:editId="5EC6D79A">
                <wp:simplePos x="0" y="0"/>
                <wp:positionH relativeFrom="column">
                  <wp:posOffset>3213100</wp:posOffset>
                </wp:positionH>
                <wp:positionV relativeFrom="paragraph">
                  <wp:posOffset>349250</wp:posOffset>
                </wp:positionV>
                <wp:extent cx="3111500" cy="1631950"/>
                <wp:effectExtent l="0" t="0" r="12700" b="25400"/>
                <wp:wrapNone/>
                <wp:docPr id="8" name="Rectangle 8"/>
                <wp:cNvGraphicFramePr/>
                <a:graphic xmlns:a="http://schemas.openxmlformats.org/drawingml/2006/main">
                  <a:graphicData uri="http://schemas.microsoft.com/office/word/2010/wordprocessingShape">
                    <wps:wsp>
                      <wps:cNvSpPr/>
                      <wps:spPr>
                        <a:xfrm>
                          <a:off x="0" y="0"/>
                          <a:ext cx="3111500" cy="163195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1FA7B0BB" w14:textId="77777777" w:rsidR="005D1687" w:rsidRDefault="005D1687" w:rsidP="005D1687">
                            <w:pPr>
                              <w:jc w:val="both"/>
                            </w:pPr>
                            <w:r>
                              <w:t xml:space="preserve">L’introduction d’une taxe sur les demandeurs entraîne un déplacement de la courbe de demande. Celle-ci se déplace vers la gauche (pour chaque prix, on demande moins de biens puisque la taxe intervient) ou vers le bas (on ne demande la même quantité que si le prix baisse pour compenser l’effet de la taxe). Le déplacement vers le bas est </w:t>
                            </w:r>
                            <w:r w:rsidR="002B73B5">
                              <w:t xml:space="preserve">équivalent au montant de la taxe.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253pt;margin-top:27.5pt;width:245pt;height:12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" fillcolor="#91bce3 [2168]" strokecolor="#5b9bd5 [3208]" strokeweight=".5pt">
                <v:fill color2="#7aaddd [2616]" rotate="t" colors="0 #b1cbe9;.5 #a3c1e5;1 #92b9e4" focus="100%" type="gradient">
                  <o:fill v:ext="view" type="gradientUnscaled"/>
                </v:fill>
                <v:textbox>
                  <w:txbxContent>
                    <w:p w:rsidR="005D1687" w:rsidRDefault="005D1687" w:rsidP="005D1687">
                      <w:pPr>
                        <w:jc w:val="both"/>
                      </w:pPr>
                      <w:r>
                        <w:t xml:space="preserve">L’introduction d’une taxe sur les demandeurs entraîne un déplacement de la courbe de demande. Celle-ci se déplace vers la gauche (pour chaque prix, on demande moins de biens puisque la taxe intervient) ou vers le bas (on ne demande la même quantité que si le prix baisse pour compenser l’effet de la taxe). Le déplacement vers le bas est </w:t>
                      </w:r>
                      <w:r w:rsidR="002B73B5">
                        <w:t xml:space="preserve">équivalent au montant de la taxe. </w:t>
                      </w:r>
                    </w:p>
                  </w:txbxContent>
                </v:textbox>
              </v:rect>
            </w:pict>
          </mc:Fallback>
        </mc:AlternateContent>
      </w:r>
      <w:r>
        <w:rPr>
          <w:b/>
          <w:noProof/>
          <w:lang w:eastAsia="fr-FR"/>
        </w:rPr>
        <w:drawing>
          <wp:inline distT="0" distB="0" distL="0" distR="0" wp14:anchorId="0D4A196C" wp14:editId="6EBDFBFA">
            <wp:extent cx="2857500" cy="2413000"/>
            <wp:effectExtent l="0" t="0" r="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413000"/>
                    </a:xfrm>
                    <a:prstGeom prst="rect">
                      <a:avLst/>
                    </a:prstGeom>
                    <a:noFill/>
                    <a:ln>
                      <a:noFill/>
                    </a:ln>
                  </pic:spPr>
                </pic:pic>
              </a:graphicData>
            </a:graphic>
          </wp:inline>
        </w:drawing>
      </w:r>
    </w:p>
    <w:p w14:paraId="7F33A609" w14:textId="77777777" w:rsidR="00D910E3" w:rsidRDefault="00D910E3" w:rsidP="00324795">
      <w:pPr>
        <w:spacing w:after="0" w:line="240" w:lineRule="auto"/>
        <w:rPr>
          <w:b/>
        </w:rPr>
      </w:pPr>
    </w:p>
    <w:p w14:paraId="7B7598A2" w14:textId="77777777" w:rsidR="002B73B5" w:rsidRDefault="002B73B5" w:rsidP="00324795">
      <w:pPr>
        <w:spacing w:after="0" w:line="240" w:lineRule="auto"/>
        <w:rPr>
          <w:b/>
        </w:rPr>
      </w:pPr>
    </w:p>
    <w:p w14:paraId="696D784F" w14:textId="77777777" w:rsidR="002B73B5" w:rsidRDefault="002B73B5" w:rsidP="00324795">
      <w:pPr>
        <w:spacing w:after="0" w:line="240" w:lineRule="auto"/>
        <w:jc w:val="right"/>
        <w:rPr>
          <w:b/>
        </w:rPr>
      </w:pPr>
      <w:r>
        <w:rPr>
          <w:b/>
          <w:noProof/>
          <w:lang w:eastAsia="fr-FR"/>
        </w:rPr>
        <mc:AlternateContent>
          <mc:Choice Requires="wps">
            <w:drawing>
              <wp:anchor distT="0" distB="0" distL="114300" distR="114300" simplePos="0" relativeHeight="251667456" behindDoc="0" locked="0" layoutInCell="1" allowOverlap="1" wp14:anchorId="0D0155F4" wp14:editId="074B341B">
                <wp:simplePos x="0" y="0"/>
                <wp:positionH relativeFrom="margin">
                  <wp:align>left</wp:align>
                </wp:positionH>
                <wp:positionV relativeFrom="paragraph">
                  <wp:posOffset>568051</wp:posOffset>
                </wp:positionV>
                <wp:extent cx="2501900" cy="120650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2501900" cy="120650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168FDE85" w14:textId="77777777" w:rsidR="002B73B5" w:rsidRDefault="002B73B5" w:rsidP="002B73B5">
                            <w:pPr>
                              <w:jc w:val="both"/>
                            </w:pPr>
                            <w:r>
                              <w:t>On remarque que le « prix payé » n’est pas le « prix reçu ». La différence constitue la taxe perçue (et versée), dont on remarque que, si elle est payée par l’acheteur, elle est en fait payée par les deux contractants.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155F4" id="Rectangle 10" o:spid="_x0000_s1027" style="position:absolute;left:0;text-align:left;margin-left:0;margin-top:44.75pt;width:197pt;height:9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" fillcolor="#91bce3 [2168]" strokecolor="#5b9bd5 [3208]" strokeweight=".5pt">
                <v:fill color2="#7aaddd [2616]" rotate="t" colors="0 #b1cbe9;.5 #a3c1e5;1 #92b9e4" focus="100%" type="gradient">
                  <o:fill v:ext="view" type="gradientUnscaled"/>
                </v:fill>
                <v:textbox>
                  <w:txbxContent>
                    <w:p w:rsidR="002B73B5" w:rsidRDefault="002B73B5" w:rsidP="002B73B5">
                      <w:pPr>
                        <w:jc w:val="both"/>
                      </w:pPr>
                      <w:r>
                        <w:t>On remarque que le « prix payé » n’est pas le « prix reçu ». La différence constitue la taxe perçue (et versée), dont on remarque que, si elle est payée par l’acheteur, elle est en fait payée par les deux contractants.</w:t>
                      </w:r>
                    </w:p>
                  </w:txbxContent>
                </v:textbox>
                <w10:wrap anchorx="margin"/>
              </v:rect>
            </w:pict>
          </mc:Fallback>
        </mc:AlternateContent>
      </w:r>
      <w:r>
        <w:rPr>
          <w:b/>
          <w:noProof/>
          <w:lang w:eastAsia="fr-FR"/>
        </w:rPr>
        <w:drawing>
          <wp:inline distT="0" distB="0" distL="0" distR="0" wp14:anchorId="0978AB6C" wp14:editId="7554FC9D">
            <wp:extent cx="3730896" cy="2378597"/>
            <wp:effectExtent l="0" t="0" r="3175" b="317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39200" cy="2383891"/>
                    </a:xfrm>
                    <a:prstGeom prst="rect">
                      <a:avLst/>
                    </a:prstGeom>
                    <a:noFill/>
                    <a:ln>
                      <a:noFill/>
                    </a:ln>
                  </pic:spPr>
                </pic:pic>
              </a:graphicData>
            </a:graphic>
          </wp:inline>
        </w:drawing>
      </w:r>
    </w:p>
    <w:p w14:paraId="2858441F" w14:textId="77777777" w:rsidR="00A57670" w:rsidRDefault="00A57670" w:rsidP="00324795">
      <w:pPr>
        <w:spacing w:after="0" w:line="240" w:lineRule="auto"/>
        <w:rPr>
          <w:b/>
          <w:color w:val="0070C0"/>
        </w:rPr>
      </w:pPr>
    </w:p>
    <w:p w14:paraId="5D3A2EC1" w14:textId="77777777" w:rsidR="00A57670" w:rsidRDefault="00A57670">
      <w:pPr>
        <w:rPr>
          <w:b/>
          <w:color w:val="0070C0"/>
        </w:rPr>
      </w:pPr>
    </w:p>
    <w:p w14:paraId="1C20859F" w14:textId="77777777" w:rsidR="00D910E3" w:rsidRDefault="00D910E3">
      <w:pPr>
        <w:rPr>
          <w:b/>
          <w:color w:val="0070C0"/>
        </w:rPr>
      </w:pPr>
      <w:r>
        <w:rPr>
          <w:b/>
          <w:color w:val="0070C0"/>
        </w:rPr>
        <w:br w:type="page"/>
      </w:r>
    </w:p>
    <w:p w14:paraId="26B2E0A2" w14:textId="77777777" w:rsidR="002B73B5" w:rsidRPr="005F5F0C" w:rsidRDefault="005F5F0C" w:rsidP="00324795">
      <w:pPr>
        <w:spacing w:after="0" w:line="240" w:lineRule="auto"/>
        <w:rPr>
          <w:bCs/>
        </w:rPr>
      </w:pPr>
      <w:r w:rsidRPr="005F5F0C">
        <w:rPr>
          <w:b/>
          <w:color w:val="0070C0"/>
        </w:rPr>
        <w:lastRenderedPageBreak/>
        <w:t>Etape 2 </w:t>
      </w:r>
      <w:r>
        <w:rPr>
          <w:bCs/>
        </w:rPr>
        <w:t xml:space="preserve">: </w:t>
      </w:r>
      <w:r w:rsidRPr="005F5F0C">
        <w:rPr>
          <w:bCs/>
        </w:rPr>
        <w:t>Les élèves doivent ensuite</w:t>
      </w:r>
      <w:r>
        <w:rPr>
          <w:bCs/>
        </w:rPr>
        <w:t xml:space="preserve"> mettre en œuvre l’effet de la taxe de 20 centimes sur la viande rouge sur l’équilibre du marché au cadran.</w:t>
      </w:r>
    </w:p>
    <w:p w14:paraId="37605F59" w14:textId="77777777" w:rsidR="008C0B84" w:rsidRDefault="008C0B84" w:rsidP="00324795">
      <w:pPr>
        <w:spacing w:after="0" w:line="240" w:lineRule="auto"/>
        <w:jc w:val="both"/>
      </w:pPr>
    </w:p>
    <w:p w14:paraId="0736B187" w14:textId="77777777" w:rsidR="002B3AC7" w:rsidRDefault="002B3AC7" w:rsidP="00324795">
      <w:pPr>
        <w:spacing w:after="0" w:line="240" w:lineRule="auto"/>
        <w:jc w:val="center"/>
        <w:rPr>
          <w:b/>
          <w:bCs/>
        </w:rPr>
      </w:pPr>
      <w:r w:rsidRPr="002B3AC7">
        <w:rPr>
          <w:b/>
          <w:bCs/>
        </w:rPr>
        <w:t xml:space="preserve">L’effet de l’introduction d’une taxe </w:t>
      </w:r>
      <w:r w:rsidR="00154C2D">
        <w:rPr>
          <w:b/>
          <w:bCs/>
        </w:rPr>
        <w:t xml:space="preserve">forfaitaire </w:t>
      </w:r>
      <w:r w:rsidRPr="002B3AC7">
        <w:rPr>
          <w:b/>
          <w:bCs/>
        </w:rPr>
        <w:t xml:space="preserve">sur </w:t>
      </w:r>
      <w:r w:rsidR="00154C2D">
        <w:rPr>
          <w:b/>
          <w:bCs/>
        </w:rPr>
        <w:t xml:space="preserve">les demandeurs sur </w:t>
      </w:r>
      <w:r w:rsidRPr="002B3AC7">
        <w:rPr>
          <w:b/>
          <w:bCs/>
        </w:rPr>
        <w:t>le marché au cadran</w:t>
      </w:r>
    </w:p>
    <w:p w14:paraId="58453380" w14:textId="77777777" w:rsidR="00A57670" w:rsidRPr="002B3AC7" w:rsidRDefault="00A57670" w:rsidP="00324795">
      <w:pPr>
        <w:spacing w:after="0" w:line="240" w:lineRule="auto"/>
        <w:jc w:val="center"/>
        <w:rPr>
          <w:b/>
          <w:bCs/>
        </w:rPr>
      </w:pPr>
    </w:p>
    <w:p w14:paraId="71D59CD3" w14:textId="77777777" w:rsidR="00C62B6F" w:rsidRDefault="00C62B6F" w:rsidP="00324795">
      <w:pPr>
        <w:spacing w:after="0" w:line="240" w:lineRule="auto"/>
        <w:jc w:val="center"/>
      </w:pPr>
      <w:r>
        <w:rPr>
          <w:noProof/>
          <w:lang w:eastAsia="fr-FR"/>
        </w:rPr>
        <w:drawing>
          <wp:inline distT="0" distB="0" distL="0" distR="0" wp14:anchorId="4CAD2D29" wp14:editId="6722145E">
            <wp:extent cx="5575300" cy="2743200"/>
            <wp:effectExtent l="0" t="0" r="6350" b="0"/>
            <wp:docPr id="11" name="Graphique 11">
              <a:extLst xmlns:a="http://schemas.openxmlformats.org/drawingml/2006/main">
                <a:ext uri="{FF2B5EF4-FFF2-40B4-BE49-F238E27FC236}">
                  <a16:creationId xmlns:a16="http://schemas.microsoft.com/office/drawing/2014/main" id="{57F2191D-667F-4782-80BA-498EE0811C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AEE3700" w14:textId="77777777" w:rsidR="00D910E3" w:rsidRDefault="00D910E3" w:rsidP="00324795">
      <w:pPr>
        <w:spacing w:after="0" w:line="240" w:lineRule="auto"/>
        <w:jc w:val="both"/>
        <w:rPr>
          <w:b/>
          <w:bCs/>
        </w:rPr>
      </w:pPr>
    </w:p>
    <w:p w14:paraId="0FC0C7A8" w14:textId="77777777" w:rsidR="006E6F07" w:rsidRDefault="002B3AC7" w:rsidP="00324795">
      <w:pPr>
        <w:spacing w:after="0" w:line="240" w:lineRule="auto"/>
        <w:jc w:val="both"/>
      </w:pPr>
      <w:r w:rsidRPr="002B3AC7">
        <w:rPr>
          <w:b/>
          <w:bCs/>
        </w:rPr>
        <w:t>Question 1</w:t>
      </w:r>
      <w:r>
        <w:t xml:space="preserve"> : </w:t>
      </w:r>
      <w:r w:rsidR="006E6F07">
        <w:t>Re</w:t>
      </w:r>
      <w:r w:rsidR="00606464">
        <w:t>présentez sur le schéma ci-dess</w:t>
      </w:r>
      <w:r w:rsidR="006E6F07">
        <w:t>us la nouvelle droite de demande</w:t>
      </w:r>
      <w:r>
        <w:t>.</w:t>
      </w:r>
    </w:p>
    <w:p w14:paraId="71B82489" w14:textId="77777777" w:rsidR="00A57670" w:rsidRDefault="00A57670" w:rsidP="00324795">
      <w:pPr>
        <w:spacing w:after="0" w:line="240" w:lineRule="auto"/>
        <w:jc w:val="both"/>
      </w:pPr>
    </w:p>
    <w:p w14:paraId="405E97ED" w14:textId="77777777" w:rsidR="004329C6" w:rsidRDefault="002B3AC7" w:rsidP="00324795">
      <w:pPr>
        <w:spacing w:after="0" w:line="240" w:lineRule="auto"/>
        <w:jc w:val="both"/>
      </w:pPr>
      <w:r w:rsidRPr="002B3AC7">
        <w:rPr>
          <w:b/>
          <w:bCs/>
        </w:rPr>
        <w:t>Question 2 </w:t>
      </w:r>
      <w:r>
        <w:t xml:space="preserve">: </w:t>
      </w:r>
      <w:r w:rsidR="004329C6">
        <w:t xml:space="preserve">Pourquoi l’instauration d’une taxe réduit-elle la quantité de viande bovine </w:t>
      </w:r>
      <w:r>
        <w:t>demandée ?</w:t>
      </w:r>
    </w:p>
    <w:p w14:paraId="07F73831" w14:textId="77777777" w:rsidR="00A57670" w:rsidRDefault="00A57670" w:rsidP="00324795">
      <w:pPr>
        <w:spacing w:after="0" w:line="240" w:lineRule="auto"/>
        <w:jc w:val="both"/>
      </w:pPr>
    </w:p>
    <w:p w14:paraId="32336227" w14:textId="77777777" w:rsidR="002B3AC7" w:rsidRDefault="002B3AC7" w:rsidP="00324795">
      <w:pPr>
        <w:spacing w:after="0" w:line="240" w:lineRule="auto"/>
        <w:jc w:val="both"/>
      </w:pPr>
      <w:r w:rsidRPr="002B3AC7">
        <w:rPr>
          <w:b/>
          <w:bCs/>
        </w:rPr>
        <w:t>Question 3</w:t>
      </w:r>
      <w:r>
        <w:t> : Comment l’offre est-elle affectée par la taxe ?</w:t>
      </w:r>
    </w:p>
    <w:p w14:paraId="78494E67" w14:textId="77777777" w:rsidR="00A57670" w:rsidRDefault="00A57670" w:rsidP="00324795">
      <w:pPr>
        <w:spacing w:after="0" w:line="240" w:lineRule="auto"/>
        <w:jc w:val="both"/>
      </w:pPr>
    </w:p>
    <w:p w14:paraId="2F51B643" w14:textId="77777777" w:rsidR="004329C6" w:rsidRDefault="002B3AC7" w:rsidP="00324795">
      <w:pPr>
        <w:spacing w:after="0" w:line="240" w:lineRule="auto"/>
        <w:jc w:val="both"/>
      </w:pPr>
      <w:r w:rsidRPr="002B3AC7">
        <w:rPr>
          <w:b/>
          <w:bCs/>
        </w:rPr>
        <w:t xml:space="preserve">Question </w:t>
      </w:r>
      <w:r>
        <w:rPr>
          <w:b/>
          <w:bCs/>
        </w:rPr>
        <w:t>4</w:t>
      </w:r>
      <w:r>
        <w:t xml:space="preserve"> : </w:t>
      </w:r>
      <w:r w:rsidR="00C62617">
        <w:t>Relevez graphiquement le prix et la</w:t>
      </w:r>
      <w:r w:rsidR="004329C6">
        <w:t xml:space="preserve"> nouvelle</w:t>
      </w:r>
      <w:r w:rsidR="00C62617">
        <w:t xml:space="preserve"> quantité d’équilibre</w:t>
      </w:r>
      <w:r>
        <w:t>.</w:t>
      </w:r>
    </w:p>
    <w:p w14:paraId="6CC9F118" w14:textId="77777777" w:rsidR="00A57670" w:rsidRDefault="00A57670" w:rsidP="00324795">
      <w:pPr>
        <w:spacing w:after="0" w:line="240" w:lineRule="auto"/>
        <w:jc w:val="both"/>
      </w:pPr>
    </w:p>
    <w:p w14:paraId="1A330DDF" w14:textId="77777777" w:rsidR="002B3AC7" w:rsidRDefault="002B3AC7" w:rsidP="00324795">
      <w:pPr>
        <w:spacing w:after="0" w:line="240" w:lineRule="auto"/>
        <w:jc w:val="both"/>
      </w:pPr>
      <w:r w:rsidRPr="00154C2D">
        <w:rPr>
          <w:b/>
          <w:bCs/>
        </w:rPr>
        <w:t>Question 5</w:t>
      </w:r>
      <w:r>
        <w:t xml:space="preserve"> : </w:t>
      </w:r>
      <w:r w:rsidR="00154C2D">
        <w:t>Par</w:t>
      </w:r>
      <w:r>
        <w:t xml:space="preserve"> qui la taxe est-elle </w:t>
      </w:r>
      <w:r w:rsidR="00154C2D">
        <w:t>effectivement</w:t>
      </w:r>
      <w:r>
        <w:t xml:space="preserve"> supportée ? Les </w:t>
      </w:r>
      <w:r w:rsidR="00154C2D">
        <w:t>demandeurs ? Les offreurs ?</w:t>
      </w:r>
    </w:p>
    <w:p w14:paraId="33A7EA12" w14:textId="77777777" w:rsidR="00A57670" w:rsidRDefault="00A57670" w:rsidP="00324795">
      <w:pPr>
        <w:spacing w:after="0" w:line="240" w:lineRule="auto"/>
        <w:jc w:val="both"/>
      </w:pPr>
    </w:p>
    <w:p w14:paraId="4BCB8802" w14:textId="77777777" w:rsidR="002B3AC7" w:rsidRDefault="002B3AC7" w:rsidP="00324795">
      <w:pPr>
        <w:spacing w:after="0" w:line="240" w:lineRule="auto"/>
        <w:jc w:val="both"/>
        <w:rPr>
          <w:color w:val="FF0000"/>
        </w:rPr>
      </w:pPr>
    </w:p>
    <w:p w14:paraId="5A2D9BE7" w14:textId="77777777" w:rsidR="00C62617" w:rsidRDefault="001628FF" w:rsidP="00324795">
      <w:pPr>
        <w:spacing w:after="0" w:line="240" w:lineRule="auto"/>
        <w:jc w:val="both"/>
        <w:rPr>
          <w:color w:val="FF0000"/>
        </w:rPr>
      </w:pPr>
      <w:r w:rsidRPr="00D910E3">
        <w:rPr>
          <w:shd w:val="clear" w:color="auto" w:fill="E7E6E6" w:themeFill="background2"/>
        </w:rPr>
        <w:t>Remarque : il est possible de partir de cette représentation d’un équilibre de marché pour montrer qu’une taxe forfaitaire réduit le surplus total.</w:t>
      </w:r>
    </w:p>
    <w:p w14:paraId="22C2CB54" w14:textId="77777777" w:rsidR="002B3AC7" w:rsidRDefault="002B3AC7" w:rsidP="00324795">
      <w:pPr>
        <w:spacing w:after="0" w:line="240" w:lineRule="auto"/>
        <w:rPr>
          <w:b/>
          <w:bCs/>
        </w:rPr>
      </w:pPr>
    </w:p>
    <w:p w14:paraId="25FF2A43" w14:textId="77777777" w:rsidR="00D910E3" w:rsidRDefault="00D910E3" w:rsidP="00324795">
      <w:pPr>
        <w:spacing w:after="0" w:line="240" w:lineRule="auto"/>
        <w:rPr>
          <w:b/>
          <w:bCs/>
          <w:color w:val="0070C0"/>
        </w:rPr>
      </w:pPr>
    </w:p>
    <w:p w14:paraId="49051086" w14:textId="77777777" w:rsidR="00E33F3E" w:rsidRDefault="00A57670" w:rsidP="00324795">
      <w:pPr>
        <w:spacing w:after="0" w:line="240" w:lineRule="auto"/>
      </w:pPr>
      <w:r w:rsidRPr="00A57670">
        <w:rPr>
          <w:b/>
          <w:bCs/>
          <w:color w:val="0070C0"/>
        </w:rPr>
        <w:t>Etape 3</w:t>
      </w:r>
      <w:r>
        <w:rPr>
          <w:b/>
          <w:bCs/>
        </w:rPr>
        <w:t xml:space="preserve"> : </w:t>
      </w:r>
      <w:r w:rsidR="0016501E" w:rsidRPr="002B3AC7">
        <w:rPr>
          <w:b/>
          <w:bCs/>
        </w:rPr>
        <w:t>Exercice de synthèse</w:t>
      </w:r>
      <w:r w:rsidR="0016501E">
        <w:t> :</w:t>
      </w:r>
      <w:r w:rsidR="00E33F3E">
        <w:t xml:space="preserve"> </w:t>
      </w:r>
    </w:p>
    <w:p w14:paraId="6257C9C2" w14:textId="77777777" w:rsidR="00190771" w:rsidRDefault="00190771" w:rsidP="00324795">
      <w:pPr>
        <w:spacing w:after="0" w:line="240" w:lineRule="auto"/>
      </w:pPr>
    </w:p>
    <w:p w14:paraId="5CE3F297" w14:textId="77777777" w:rsidR="00190771" w:rsidRDefault="00190771" w:rsidP="00324795">
      <w:pPr>
        <w:spacing w:after="0" w:line="240" w:lineRule="auto"/>
      </w:pPr>
      <w:r>
        <w:t>Complétez le texte suivant :</w:t>
      </w:r>
    </w:p>
    <w:p w14:paraId="2FDE5FE7" w14:textId="77777777" w:rsidR="00E33F3E" w:rsidRDefault="00E33F3E" w:rsidP="00324795">
      <w:pPr>
        <w:spacing w:after="0" w:line="240" w:lineRule="auto"/>
      </w:pPr>
    </w:p>
    <w:p w14:paraId="0111DA9E" w14:textId="77777777" w:rsidR="00E33F3E" w:rsidRDefault="00E33F3E" w:rsidP="00324795">
      <w:pPr>
        <w:spacing w:after="0" w:line="240" w:lineRule="auto"/>
      </w:pPr>
    </w:p>
    <w:p w14:paraId="24FC8DA2" w14:textId="77777777" w:rsidR="0016501E" w:rsidRDefault="0016501E" w:rsidP="00EB0E0A">
      <w:pPr>
        <w:spacing w:after="0" w:line="240" w:lineRule="auto"/>
        <w:jc w:val="both"/>
      </w:pPr>
      <w:r>
        <w:t>Les pouv</w:t>
      </w:r>
      <w:r w:rsidR="00EF08B6">
        <w:t>oirs publics utilisent les (</w:t>
      </w:r>
      <w:r w:rsidR="00EF08B6" w:rsidRPr="00E33F3E">
        <w:rPr>
          <w:color w:val="FF0000"/>
        </w:rPr>
        <w:t>taxes</w:t>
      </w:r>
      <w:r w:rsidR="00EF08B6">
        <w:t>)</w:t>
      </w:r>
      <w:r>
        <w:t xml:space="preserve"> pour collecter des recettes et modifier les comportements des offreurs et des demandeurs sur un marché. Une taxe forfaitaire (taxe unitaire par produit) sur les acheteur</w:t>
      </w:r>
      <w:r w:rsidR="00EB0E0A">
        <w:t>s</w:t>
      </w:r>
      <w:r w:rsidR="00EF08B6">
        <w:t xml:space="preserve"> réduit</w:t>
      </w:r>
      <w:r w:rsidR="00EB0E0A">
        <w:t>,</w:t>
      </w:r>
      <w:r w:rsidR="00EF08B6">
        <w:t xml:space="preserve"> pour chaque prix, la (</w:t>
      </w:r>
      <w:r w:rsidR="00EF08B6" w:rsidRPr="00E33F3E">
        <w:rPr>
          <w:color w:val="FF0000"/>
        </w:rPr>
        <w:t>quantité demandée</w:t>
      </w:r>
      <w:r w:rsidR="00EF08B6">
        <w:t>)</w:t>
      </w:r>
      <w:r>
        <w:t xml:space="preserve">. </w:t>
      </w:r>
      <w:r w:rsidR="00EF08B6">
        <w:t xml:space="preserve">La droite de demande se déplace vers la </w:t>
      </w:r>
      <w:r w:rsidR="00E33F3E">
        <w:t>(</w:t>
      </w:r>
      <w:r w:rsidR="00EF08B6" w:rsidRPr="00E33F3E">
        <w:rPr>
          <w:color w:val="FF0000"/>
        </w:rPr>
        <w:t>gauche</w:t>
      </w:r>
      <w:r w:rsidR="00E33F3E">
        <w:t>)</w:t>
      </w:r>
      <w:r>
        <w:t xml:space="preserve">. </w:t>
      </w:r>
      <w:r w:rsidR="00EF08B6">
        <w:t>Le déplacement de la droite de demande modifie (</w:t>
      </w:r>
      <w:r w:rsidR="00EF08B6" w:rsidRPr="00E33F3E">
        <w:rPr>
          <w:color w:val="FF0000"/>
        </w:rPr>
        <w:t>l’équilibre de marché</w:t>
      </w:r>
      <w:r w:rsidR="00EF08B6">
        <w:t>). Les (</w:t>
      </w:r>
      <w:r w:rsidR="00EF08B6" w:rsidRPr="00E33F3E">
        <w:rPr>
          <w:color w:val="FF0000"/>
        </w:rPr>
        <w:t>quantités échangées</w:t>
      </w:r>
      <w:r w:rsidR="00EF08B6">
        <w:t>) diminuent ainsi que le (</w:t>
      </w:r>
      <w:r w:rsidR="00EF08B6" w:rsidRPr="00E33F3E">
        <w:rPr>
          <w:color w:val="FF0000"/>
        </w:rPr>
        <w:t>prix</w:t>
      </w:r>
      <w:r w:rsidR="00EF08B6">
        <w:t xml:space="preserve">) auquel s’effectue l’échange. La diminution du prix réduit </w:t>
      </w:r>
      <w:r w:rsidR="00E33F3E">
        <w:t>la (</w:t>
      </w:r>
      <w:r w:rsidR="00E33F3E" w:rsidRPr="00E33F3E">
        <w:rPr>
          <w:color w:val="FF0000"/>
        </w:rPr>
        <w:t>quantité offerte</w:t>
      </w:r>
      <w:r w:rsidR="00E33F3E">
        <w:t>)- déplacement le long de la droite d’offre. Si la taxe est</w:t>
      </w:r>
      <w:r>
        <w:t xml:space="preserve"> payée par l’acheteur, elle est supportée par </w:t>
      </w:r>
      <w:r w:rsidR="00E33F3E">
        <w:t>(</w:t>
      </w:r>
      <w:r w:rsidR="00E33F3E" w:rsidRPr="00E33F3E">
        <w:rPr>
          <w:color w:val="FF0000"/>
        </w:rPr>
        <w:t>l’acheteur</w:t>
      </w:r>
      <w:r w:rsidR="00E33F3E">
        <w:t>) et le (</w:t>
      </w:r>
      <w:r w:rsidR="00E33F3E" w:rsidRPr="00E33F3E">
        <w:rPr>
          <w:color w:val="FF0000"/>
        </w:rPr>
        <w:t>vendeur</w:t>
      </w:r>
      <w:r w:rsidR="00E33F3E">
        <w:t>).</w:t>
      </w:r>
    </w:p>
    <w:p w14:paraId="07D2361B" w14:textId="77777777" w:rsidR="0020387F" w:rsidRDefault="0020387F" w:rsidP="0020387F">
      <w:pPr>
        <w:spacing w:after="0" w:line="240" w:lineRule="auto"/>
        <w:jc w:val="center"/>
        <w:rPr>
          <w:bCs/>
          <w:color w:val="C00000"/>
          <w:sz w:val="32"/>
          <w:szCs w:val="32"/>
        </w:rPr>
      </w:pPr>
    </w:p>
    <w:p w14:paraId="267255E8" w14:textId="77777777" w:rsidR="004329C6" w:rsidRDefault="0020387F" w:rsidP="0020387F">
      <w:pPr>
        <w:spacing w:after="0" w:line="240" w:lineRule="auto"/>
        <w:jc w:val="center"/>
      </w:pPr>
      <w:r w:rsidRPr="00D910E3">
        <w:rPr>
          <w:bCs/>
          <w:color w:val="C00000"/>
          <w:sz w:val="32"/>
          <w:szCs w:val="32"/>
        </w:rPr>
        <w:t>* * *</w:t>
      </w:r>
    </w:p>
    <w:sectPr w:rsidR="004329C6" w:rsidSect="00D910E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AD470" w14:textId="77777777" w:rsidR="007279CF" w:rsidRDefault="007279CF" w:rsidP="00703B2A">
      <w:pPr>
        <w:spacing w:after="0" w:line="240" w:lineRule="auto"/>
      </w:pPr>
      <w:r>
        <w:separator/>
      </w:r>
    </w:p>
  </w:endnote>
  <w:endnote w:type="continuationSeparator" w:id="0">
    <w:p w14:paraId="47A9DB3B" w14:textId="77777777" w:rsidR="007279CF" w:rsidRDefault="007279CF" w:rsidP="00703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31260" w14:textId="77777777" w:rsidR="007279CF" w:rsidRDefault="007279CF" w:rsidP="00703B2A">
      <w:pPr>
        <w:spacing w:after="0" w:line="240" w:lineRule="auto"/>
      </w:pPr>
      <w:r>
        <w:separator/>
      </w:r>
    </w:p>
  </w:footnote>
  <w:footnote w:type="continuationSeparator" w:id="0">
    <w:p w14:paraId="62B903CD" w14:textId="77777777" w:rsidR="007279CF" w:rsidRDefault="007279CF" w:rsidP="00703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86495"/>
    <w:multiLevelType w:val="hybridMultilevel"/>
    <w:tmpl w:val="085C1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B56374"/>
    <w:multiLevelType w:val="hybridMultilevel"/>
    <w:tmpl w:val="6D56FCCC"/>
    <w:lvl w:ilvl="0" w:tplc="47002CB0">
      <w:start w:val="7"/>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9865745"/>
    <w:multiLevelType w:val="hybridMultilevel"/>
    <w:tmpl w:val="65D65F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B25260E"/>
    <w:multiLevelType w:val="hybridMultilevel"/>
    <w:tmpl w:val="1D3AB0B6"/>
    <w:lvl w:ilvl="0" w:tplc="47002CB0">
      <w:start w:val="7"/>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7AB"/>
    <w:rsid w:val="00041776"/>
    <w:rsid w:val="00062108"/>
    <w:rsid w:val="0009231F"/>
    <w:rsid w:val="000B47AB"/>
    <w:rsid w:val="00154C2D"/>
    <w:rsid w:val="001628FF"/>
    <w:rsid w:val="0016501E"/>
    <w:rsid w:val="00190771"/>
    <w:rsid w:val="001C5293"/>
    <w:rsid w:val="0020387F"/>
    <w:rsid w:val="00230017"/>
    <w:rsid w:val="00257CCD"/>
    <w:rsid w:val="00293260"/>
    <w:rsid w:val="002B3AC7"/>
    <w:rsid w:val="002B73B5"/>
    <w:rsid w:val="00324795"/>
    <w:rsid w:val="003A3DBA"/>
    <w:rsid w:val="004329C6"/>
    <w:rsid w:val="004510A3"/>
    <w:rsid w:val="00462A39"/>
    <w:rsid w:val="004B0C79"/>
    <w:rsid w:val="004D4F27"/>
    <w:rsid w:val="004D4FA9"/>
    <w:rsid w:val="004F4540"/>
    <w:rsid w:val="005938C4"/>
    <w:rsid w:val="005B08DB"/>
    <w:rsid w:val="005D1687"/>
    <w:rsid w:val="005F5F0C"/>
    <w:rsid w:val="00606464"/>
    <w:rsid w:val="006E6F07"/>
    <w:rsid w:val="00703B2A"/>
    <w:rsid w:val="007279CF"/>
    <w:rsid w:val="0076148A"/>
    <w:rsid w:val="007B56F0"/>
    <w:rsid w:val="00821439"/>
    <w:rsid w:val="008C0B84"/>
    <w:rsid w:val="008E7728"/>
    <w:rsid w:val="008F0088"/>
    <w:rsid w:val="008F30B7"/>
    <w:rsid w:val="008F4AAF"/>
    <w:rsid w:val="00916BF9"/>
    <w:rsid w:val="00930CAF"/>
    <w:rsid w:val="00A22E4A"/>
    <w:rsid w:val="00A57670"/>
    <w:rsid w:val="00A605D2"/>
    <w:rsid w:val="00A607A0"/>
    <w:rsid w:val="00A94A18"/>
    <w:rsid w:val="00AA5834"/>
    <w:rsid w:val="00AC4648"/>
    <w:rsid w:val="00AD79D2"/>
    <w:rsid w:val="00AF3F5A"/>
    <w:rsid w:val="00B10B2C"/>
    <w:rsid w:val="00B44258"/>
    <w:rsid w:val="00B57BEB"/>
    <w:rsid w:val="00B73789"/>
    <w:rsid w:val="00B743D8"/>
    <w:rsid w:val="00C22F44"/>
    <w:rsid w:val="00C25626"/>
    <w:rsid w:val="00C27196"/>
    <w:rsid w:val="00C3188A"/>
    <w:rsid w:val="00C62617"/>
    <w:rsid w:val="00C62B6F"/>
    <w:rsid w:val="00D55A44"/>
    <w:rsid w:val="00D910E3"/>
    <w:rsid w:val="00D97BA8"/>
    <w:rsid w:val="00DB0699"/>
    <w:rsid w:val="00DD5A1C"/>
    <w:rsid w:val="00E33F3E"/>
    <w:rsid w:val="00E97B77"/>
    <w:rsid w:val="00EA0993"/>
    <w:rsid w:val="00EB0B1F"/>
    <w:rsid w:val="00EB0E0A"/>
    <w:rsid w:val="00EC5743"/>
    <w:rsid w:val="00EF08B6"/>
    <w:rsid w:val="00F44EE6"/>
    <w:rsid w:val="00FB32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A248"/>
  <w15:docId w15:val="{EF398AF9-C074-4EF6-AAB5-49CC1278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57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57BEB"/>
    <w:rPr>
      <w:color w:val="0563C1" w:themeColor="hyperlink"/>
      <w:u w:val="single"/>
    </w:rPr>
  </w:style>
  <w:style w:type="character" w:customStyle="1" w:styleId="Mentionnonrsolue1">
    <w:name w:val="Mention non résolue1"/>
    <w:basedOn w:val="Policepardfaut"/>
    <w:uiPriority w:val="99"/>
    <w:semiHidden/>
    <w:unhideWhenUsed/>
    <w:rsid w:val="00B57BEB"/>
    <w:rPr>
      <w:color w:val="605E5C"/>
      <w:shd w:val="clear" w:color="auto" w:fill="E1DFDD"/>
    </w:rPr>
  </w:style>
  <w:style w:type="table" w:styleId="Grilledutableau">
    <w:name w:val="Table Grid"/>
    <w:basedOn w:val="TableauNormal"/>
    <w:uiPriority w:val="39"/>
    <w:rsid w:val="00AF3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03B2A"/>
    <w:pPr>
      <w:tabs>
        <w:tab w:val="center" w:pos="4536"/>
        <w:tab w:val="right" w:pos="9072"/>
      </w:tabs>
      <w:spacing w:after="0" w:line="240" w:lineRule="auto"/>
    </w:pPr>
  </w:style>
  <w:style w:type="character" w:customStyle="1" w:styleId="En-tteCar">
    <w:name w:val="En-tête Car"/>
    <w:basedOn w:val="Policepardfaut"/>
    <w:link w:val="En-tte"/>
    <w:uiPriority w:val="99"/>
    <w:rsid w:val="00703B2A"/>
  </w:style>
  <w:style w:type="paragraph" w:styleId="Pieddepage">
    <w:name w:val="footer"/>
    <w:basedOn w:val="Normal"/>
    <w:link w:val="PieddepageCar"/>
    <w:uiPriority w:val="99"/>
    <w:unhideWhenUsed/>
    <w:rsid w:val="00703B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3B2A"/>
  </w:style>
  <w:style w:type="paragraph" w:styleId="Textedebulles">
    <w:name w:val="Balloon Text"/>
    <w:basedOn w:val="Normal"/>
    <w:link w:val="TextedebullesCar"/>
    <w:uiPriority w:val="99"/>
    <w:semiHidden/>
    <w:unhideWhenUsed/>
    <w:rsid w:val="00A94A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4A18"/>
    <w:rPr>
      <w:rFonts w:ascii="Tahoma" w:hAnsi="Tahoma" w:cs="Tahoma"/>
      <w:sz w:val="16"/>
      <w:szCs w:val="16"/>
    </w:rPr>
  </w:style>
  <w:style w:type="character" w:styleId="Lienhypertextesuivivisit">
    <w:name w:val="FollowedHyperlink"/>
    <w:basedOn w:val="Policepardfaut"/>
    <w:uiPriority w:val="99"/>
    <w:semiHidden/>
    <w:unhideWhenUsed/>
    <w:rsid w:val="004D4F27"/>
    <w:rPr>
      <w:color w:val="954F72" w:themeColor="followedHyperlink"/>
      <w:u w:val="single"/>
    </w:rPr>
  </w:style>
  <w:style w:type="paragraph" w:styleId="Paragraphedeliste">
    <w:name w:val="List Paragraph"/>
    <w:basedOn w:val="Normal"/>
    <w:uiPriority w:val="34"/>
    <w:qFormat/>
    <w:rsid w:val="004D4F27"/>
    <w:pPr>
      <w:ind w:left="720"/>
      <w:contextualSpacing/>
    </w:pPr>
  </w:style>
  <w:style w:type="character" w:customStyle="1" w:styleId="Mentionnonrsolue2">
    <w:name w:val="Mention non résolue2"/>
    <w:basedOn w:val="Policepardfaut"/>
    <w:uiPriority w:val="99"/>
    <w:semiHidden/>
    <w:unhideWhenUsed/>
    <w:rsid w:val="00A22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st.quiziniere.com/" TargetMode="External"/><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hyperlink" Target="https://www.francetvinfo.fr/economie/emploi/metiers/agriculture/secheresse-les-eleveurs-bradent-leur-viande_2967503.html"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hena\AppData\Local\Packages\Microsoft.Office.Desktop_8wekyb3d8bbwe\LocalCache\Roaming\Microsoft\Excel\Classeur1%20(version%201).xlsb"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Classeur1"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Feuil1!$C$6</c:f>
              <c:strCache>
                <c:ptCount val="1"/>
                <c:pt idx="0">
                  <c:v>Quantités</c:v>
                </c:pt>
              </c:strCache>
            </c:strRef>
          </c:tx>
          <c:spPr>
            <a:ln w="25400" cap="rnd">
              <a:noFill/>
              <a:round/>
            </a:ln>
            <a:effectLst/>
          </c:spPr>
          <c:marker>
            <c:symbol val="circle"/>
            <c:size val="5"/>
            <c:spPr>
              <a:solidFill>
                <a:schemeClr val="accent1"/>
              </a:solidFill>
              <a:ln w="9525">
                <a:solidFill>
                  <a:schemeClr val="accent1"/>
                </a:solidFill>
              </a:ln>
              <a:effectLst/>
            </c:spPr>
          </c:marker>
          <c:xVal>
            <c:numRef>
              <c:f>Feuil1!$D$6:$E$6</c:f>
              <c:numCache>
                <c:formatCode>General</c:formatCode>
                <c:ptCount val="2"/>
                <c:pt idx="0">
                  <c:v>60</c:v>
                </c:pt>
                <c:pt idx="1">
                  <c:v>100</c:v>
                </c:pt>
              </c:numCache>
            </c:numRef>
          </c:xVal>
          <c:yVal>
            <c:numRef>
              <c:f>Feuil1!$D$5:$E$5</c:f>
              <c:numCache>
                <c:formatCode>General</c:formatCode>
                <c:ptCount val="2"/>
                <c:pt idx="0">
                  <c:v>1.8</c:v>
                </c:pt>
                <c:pt idx="1">
                  <c:v>1.55</c:v>
                </c:pt>
              </c:numCache>
            </c:numRef>
          </c:yVal>
          <c:smooth val="0"/>
          <c:extLst>
            <c:ext xmlns:c16="http://schemas.microsoft.com/office/drawing/2014/chart" uri="{C3380CC4-5D6E-409C-BE32-E72D297353CC}">
              <c16:uniqueId val="{00000000-F6ED-4DB3-9E24-972FC9304C77}"/>
            </c:ext>
          </c:extLst>
        </c:ser>
        <c:dLbls>
          <c:showLegendKey val="0"/>
          <c:showVal val="0"/>
          <c:showCatName val="0"/>
          <c:showSerName val="0"/>
          <c:showPercent val="0"/>
          <c:showBubbleSize val="0"/>
        </c:dLbls>
        <c:axId val="141447168"/>
        <c:axId val="141449088"/>
      </c:scatterChart>
      <c:valAx>
        <c:axId val="141447168"/>
        <c:scaling>
          <c:orientation val="minMax"/>
          <c:max val="2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Quantités</a:t>
                </a:r>
              </a:p>
            </c:rich>
          </c:tx>
          <c:layout>
            <c:manualLayout>
              <c:xMode val="edge"/>
              <c:yMode val="edge"/>
              <c:x val="0.84120713035870531"/>
              <c:y val="0.8833100029163021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41449088"/>
        <c:crosses val="autoZero"/>
        <c:crossBetween val="midCat"/>
        <c:majorUnit val="10"/>
      </c:valAx>
      <c:valAx>
        <c:axId val="141449088"/>
        <c:scaling>
          <c:orientation val="minMax"/>
          <c:max val="2.5"/>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Prix</a:t>
                </a:r>
                <a:r>
                  <a:rPr lang="fr-FR" baseline="0"/>
                  <a:t> (€/kg)</a:t>
                </a:r>
                <a:endParaRPr lang="fr-FR"/>
              </a:p>
            </c:rich>
          </c:tx>
          <c:layout>
            <c:manualLayout>
              <c:xMode val="edge"/>
              <c:yMode val="edge"/>
              <c:x val="1.666666666666667E-2"/>
              <c:y val="4.3776975794692322E-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41447168"/>
        <c:crosses val="autoZero"/>
        <c:crossBetween val="midCat"/>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Feuil1!$C$15</c:f>
              <c:strCache>
                <c:ptCount val="1"/>
                <c:pt idx="0">
                  <c:v>Demande</c:v>
                </c:pt>
              </c:strCache>
            </c:strRef>
          </c:tx>
          <c:spPr>
            <a:ln w="25400" cap="rnd">
              <a:noFill/>
              <a:round/>
            </a:ln>
            <a:effectLst/>
          </c:spPr>
          <c:marker>
            <c:symbol val="circle"/>
            <c:size val="5"/>
            <c:spPr>
              <a:solidFill>
                <a:schemeClr val="accent1"/>
              </a:solidFill>
              <a:ln w="9525">
                <a:solidFill>
                  <a:schemeClr val="accent1"/>
                </a:solidFill>
              </a:ln>
              <a:effectLst/>
            </c:spPr>
          </c:marker>
          <c:xVal>
            <c:numRef>
              <c:f>Feuil1!$D$15</c:f>
              <c:numCache>
                <c:formatCode>General</c:formatCode>
                <c:ptCount val="1"/>
                <c:pt idx="0">
                  <c:v>100</c:v>
                </c:pt>
              </c:numCache>
            </c:numRef>
          </c:xVal>
          <c:yVal>
            <c:numRef>
              <c:f>Feuil1!$D$14</c:f>
              <c:numCache>
                <c:formatCode>General</c:formatCode>
                <c:ptCount val="1"/>
                <c:pt idx="0">
                  <c:v>1.55</c:v>
                </c:pt>
              </c:numCache>
            </c:numRef>
          </c:yVal>
          <c:smooth val="0"/>
          <c:extLst>
            <c:ext xmlns:c16="http://schemas.microsoft.com/office/drawing/2014/chart" uri="{C3380CC4-5D6E-409C-BE32-E72D297353CC}">
              <c16:uniqueId val="{00000000-4AD6-4ED1-85EF-5CCDDEE3360F}"/>
            </c:ext>
          </c:extLst>
        </c:ser>
        <c:dLbls>
          <c:showLegendKey val="0"/>
          <c:showVal val="0"/>
          <c:showCatName val="0"/>
          <c:showSerName val="0"/>
          <c:showPercent val="0"/>
          <c:showBubbleSize val="0"/>
        </c:dLbls>
        <c:axId val="237625016"/>
        <c:axId val="460497272"/>
      </c:scatterChart>
      <c:valAx>
        <c:axId val="237625016"/>
        <c:scaling>
          <c:orientation val="minMax"/>
          <c:max val="2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Quantités</a:t>
                </a:r>
              </a:p>
            </c:rich>
          </c:tx>
          <c:layout>
            <c:manualLayout>
              <c:xMode val="edge"/>
              <c:yMode val="edge"/>
              <c:x val="0.88067011695437425"/>
              <c:y val="0.8786803732866724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60497272"/>
        <c:crosses val="autoZero"/>
        <c:crossBetween val="midCat"/>
        <c:majorUnit val="10"/>
      </c:valAx>
      <c:valAx>
        <c:axId val="460497272"/>
        <c:scaling>
          <c:orientation val="minMax"/>
          <c:max val="2.5"/>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Prix (en €/kg)</a:t>
                </a:r>
              </a:p>
            </c:rich>
          </c:tx>
          <c:layout>
            <c:manualLayout>
              <c:xMode val="edge"/>
              <c:yMode val="edge"/>
              <c:x val="1.9173157579388856E-2"/>
              <c:y val="3.7804753572470103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37625016"/>
        <c:crosses val="autoZero"/>
        <c:crossBetween val="midCat"/>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0.10658</cdr:x>
      <cdr:y>0.21528</cdr:y>
    </cdr:from>
    <cdr:to>
      <cdr:x>0.92177</cdr:x>
      <cdr:y>0.7963</cdr:y>
    </cdr:to>
    <cdr:cxnSp macro="">
      <cdr:nvCxnSpPr>
        <cdr:cNvPr id="3" name="Connecteur droit 2">
          <a:extLst xmlns:a="http://schemas.openxmlformats.org/drawingml/2006/main">
            <a:ext uri="{FF2B5EF4-FFF2-40B4-BE49-F238E27FC236}">
              <a16:creationId xmlns:a16="http://schemas.microsoft.com/office/drawing/2014/main" id="{C87A6BCA-CFBD-4AF9-A251-4A54507E7D7C}"/>
            </a:ext>
          </a:extLst>
        </cdr:cNvPr>
        <cdr:cNvCxnSpPr/>
      </cdr:nvCxnSpPr>
      <cdr:spPr>
        <a:xfrm xmlns:a="http://schemas.openxmlformats.org/drawingml/2006/main">
          <a:off x="596900" y="590550"/>
          <a:ext cx="4565650" cy="1593850"/>
        </a:xfrm>
        <a:prstGeom xmlns:a="http://schemas.openxmlformats.org/drawingml/2006/main" prst="line">
          <a:avLst/>
        </a:prstGeom>
      </cdr:spPr>
      <cdr:style>
        <a:lnRef xmlns:a="http://schemas.openxmlformats.org/drawingml/2006/main" idx="3">
          <a:schemeClr val="accent1"/>
        </a:lnRef>
        <a:fillRef xmlns:a="http://schemas.openxmlformats.org/drawingml/2006/main" idx="0">
          <a:schemeClr val="accent1"/>
        </a:fillRef>
        <a:effectRef xmlns:a="http://schemas.openxmlformats.org/drawingml/2006/main" idx="2">
          <a:schemeClr val="accent1"/>
        </a:effectRef>
        <a:fontRef xmlns:a="http://schemas.openxmlformats.org/drawingml/2006/main" idx="minor">
          <a:schemeClr val="tx1"/>
        </a:fontRef>
      </cdr:style>
    </cdr:cxnSp>
  </cdr:relSizeAnchor>
  <cdr:relSizeAnchor xmlns:cdr="http://schemas.openxmlformats.org/drawingml/2006/chartDrawing">
    <cdr:from>
      <cdr:x>0.10544</cdr:x>
      <cdr:y>0.05324</cdr:y>
    </cdr:from>
    <cdr:to>
      <cdr:x>0.65646</cdr:x>
      <cdr:y>0.69676</cdr:y>
    </cdr:to>
    <cdr:cxnSp macro="">
      <cdr:nvCxnSpPr>
        <cdr:cNvPr id="4" name="Connecteur droit 3">
          <a:extLst xmlns:a="http://schemas.openxmlformats.org/drawingml/2006/main">
            <a:ext uri="{FF2B5EF4-FFF2-40B4-BE49-F238E27FC236}">
              <a16:creationId xmlns:a16="http://schemas.microsoft.com/office/drawing/2014/main" id="{D872FA9C-7138-44ED-AAF0-50292C14CF5E}"/>
            </a:ext>
          </a:extLst>
        </cdr:cNvPr>
        <cdr:cNvCxnSpPr/>
      </cdr:nvCxnSpPr>
      <cdr:spPr>
        <a:xfrm xmlns:a="http://schemas.openxmlformats.org/drawingml/2006/main" flipV="1">
          <a:off x="590559" y="146050"/>
          <a:ext cx="3086091" cy="1765293"/>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0.23696</cdr:x>
      <cdr:y>0.56482</cdr:y>
    </cdr:from>
    <cdr:to>
      <cdr:x>0.38776</cdr:x>
      <cdr:y>0.63889</cdr:y>
    </cdr:to>
    <cdr:sp macro="" textlink="">
      <cdr:nvSpPr>
        <cdr:cNvPr id="21" name="Flèche : droite 20">
          <a:extLst xmlns:a="http://schemas.openxmlformats.org/drawingml/2006/main">
            <a:ext uri="{FF2B5EF4-FFF2-40B4-BE49-F238E27FC236}">
              <a16:creationId xmlns:a16="http://schemas.microsoft.com/office/drawing/2014/main" id="{F1297D40-2E1D-4359-A2DD-F5240906BC0C}"/>
            </a:ext>
          </a:extLst>
        </cdr:cNvPr>
        <cdr:cNvSpPr/>
      </cdr:nvSpPr>
      <cdr:spPr>
        <a:xfrm xmlns:a="http://schemas.openxmlformats.org/drawingml/2006/main">
          <a:off x="1327131" y="1549413"/>
          <a:ext cx="844586" cy="203189"/>
        </a:xfrm>
        <a:prstGeom xmlns:a="http://schemas.openxmlformats.org/drawingml/2006/main" prst="rightArrow">
          <a:avLst/>
        </a:prstGeom>
        <a:solidFill xmlns:a="http://schemas.openxmlformats.org/drawingml/2006/main">
          <a:srgbClr val="FF0000"/>
        </a:solidFill>
        <a:ln xmlns:a="http://schemas.openxmlformats.org/drawingml/2006/main">
          <a:solidFill>
            <a:srgbClr val="FF0000"/>
          </a:solidFill>
        </a:ln>
      </cdr:spPr>
      <cdr:style>
        <a:lnRef xmlns:a="http://schemas.openxmlformats.org/drawingml/2006/main" idx="1">
          <a:schemeClr val="accent2"/>
        </a:lnRef>
        <a:fillRef xmlns:a="http://schemas.openxmlformats.org/drawingml/2006/main" idx="3">
          <a:schemeClr val="accent2"/>
        </a:fillRef>
        <a:effectRef xmlns:a="http://schemas.openxmlformats.org/drawingml/2006/main" idx="2">
          <a:schemeClr val="accent2"/>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fr-FR" sz="1100"/>
        </a:p>
      </cdr:txBody>
    </cdr:sp>
  </cdr:relSizeAnchor>
  <cdr:relSizeAnchor xmlns:cdr="http://schemas.openxmlformats.org/drawingml/2006/chartDrawing">
    <cdr:from>
      <cdr:x>0.38095</cdr:x>
      <cdr:y>0.05324</cdr:y>
    </cdr:from>
    <cdr:to>
      <cdr:x>0.93197</cdr:x>
      <cdr:y>0.69676</cdr:y>
    </cdr:to>
    <cdr:cxnSp macro="">
      <cdr:nvCxnSpPr>
        <cdr:cNvPr id="18" name="Connecteur droit 17">
          <a:extLst xmlns:a="http://schemas.openxmlformats.org/drawingml/2006/main">
            <a:ext uri="{FF2B5EF4-FFF2-40B4-BE49-F238E27FC236}">
              <a16:creationId xmlns:a16="http://schemas.microsoft.com/office/drawing/2014/main" id="{B444242C-C6EF-40C1-8C03-5856138AE525}"/>
            </a:ext>
          </a:extLst>
        </cdr:cNvPr>
        <cdr:cNvCxnSpPr/>
      </cdr:nvCxnSpPr>
      <cdr:spPr>
        <a:xfrm xmlns:a="http://schemas.openxmlformats.org/drawingml/2006/main" flipV="1">
          <a:off x="2133600" y="146050"/>
          <a:ext cx="3086091" cy="1765293"/>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0.10591</cdr:x>
      <cdr:y>0.21297</cdr:y>
    </cdr:from>
    <cdr:to>
      <cdr:x>0.92473</cdr:x>
      <cdr:y>0.79399</cdr:y>
    </cdr:to>
    <cdr:cxnSp macro="">
      <cdr:nvCxnSpPr>
        <cdr:cNvPr id="2" name="Connecteur droit 1"/>
        <cdr:cNvCxnSpPr/>
      </cdr:nvCxnSpPr>
      <cdr:spPr>
        <a:xfrm xmlns:a="http://schemas.openxmlformats.org/drawingml/2006/main">
          <a:off x="590505" y="584206"/>
          <a:ext cx="4565117" cy="1593854"/>
        </a:xfrm>
        <a:prstGeom xmlns:a="http://schemas.openxmlformats.org/drawingml/2006/main" prst="line">
          <a:avLst/>
        </a:prstGeom>
      </cdr:spPr>
      <cdr:style>
        <a:lnRef xmlns:a="http://schemas.openxmlformats.org/drawingml/2006/main" idx="3">
          <a:schemeClr val="accent1"/>
        </a:lnRef>
        <a:fillRef xmlns:a="http://schemas.openxmlformats.org/drawingml/2006/main" idx="0">
          <a:schemeClr val="accent1"/>
        </a:fillRef>
        <a:effectRef xmlns:a="http://schemas.openxmlformats.org/drawingml/2006/main" idx="2">
          <a:schemeClr val="accent1"/>
        </a:effectRef>
        <a:fontRef xmlns:a="http://schemas.openxmlformats.org/drawingml/2006/main" idx="minor">
          <a:schemeClr val="tx1"/>
        </a:fontRef>
      </cdr:style>
    </cdr:cxnSp>
  </cdr:relSizeAnchor>
  <cdr:relSizeAnchor xmlns:cdr="http://schemas.openxmlformats.org/drawingml/2006/chartDrawing">
    <cdr:from>
      <cdr:x>0.37809</cdr:x>
      <cdr:y>0.05324</cdr:y>
    </cdr:from>
    <cdr:to>
      <cdr:x>0.93155</cdr:x>
      <cdr:y>0.69676</cdr:y>
    </cdr:to>
    <cdr:cxnSp macro="">
      <cdr:nvCxnSpPr>
        <cdr:cNvPr id="3" name="Connecteur droit 2"/>
        <cdr:cNvCxnSpPr/>
      </cdr:nvCxnSpPr>
      <cdr:spPr>
        <a:xfrm xmlns:a="http://schemas.openxmlformats.org/drawingml/2006/main" flipV="1">
          <a:off x="2107945" y="146048"/>
          <a:ext cx="3085748" cy="1765304"/>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1249</Words>
  <Characters>6875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Lycée CORDOUAN</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dc:creator>
  <cp:lastModifiedBy>David H</cp:lastModifiedBy>
  <cp:revision>3</cp:revision>
  <dcterms:created xsi:type="dcterms:W3CDTF">2019-06-19T14:31:00Z</dcterms:created>
  <dcterms:modified xsi:type="dcterms:W3CDTF">2019-11-08T13:03:00Z</dcterms:modified>
</cp:coreProperties>
</file>