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8EAC1" w14:textId="732C068D" w:rsidR="002C27FA" w:rsidRDefault="00AF7A9A" w:rsidP="00AF7A9A">
      <w:pPr>
        <w:pStyle w:val="Titre"/>
        <w:jc w:val="center"/>
        <w:rPr>
          <w:sz w:val="48"/>
          <w:szCs w:val="48"/>
        </w:rPr>
      </w:pPr>
      <w:r w:rsidRPr="00AF7A9A">
        <w:rPr>
          <w:sz w:val="48"/>
          <w:szCs w:val="48"/>
        </w:rPr>
        <w:t>Les inégalités de salaires en fonction du genre</w:t>
      </w:r>
    </w:p>
    <w:p w14:paraId="7B043C2A" w14:textId="16E3EC6E" w:rsidR="00B566D6" w:rsidRPr="00B566D6" w:rsidRDefault="00B566D6" w:rsidP="00B566D6">
      <w:pPr>
        <w:jc w:val="center"/>
      </w:pPr>
      <w:r>
        <w:t>Feuille de route – Version élève</w:t>
      </w:r>
    </w:p>
    <w:p w14:paraId="3712AF4D" w14:textId="77777777" w:rsidR="00AF7A9A" w:rsidRDefault="00AF7A9A" w:rsidP="00AF7A9A">
      <w:pPr>
        <w:pStyle w:val="Sous-titre"/>
        <w:jc w:val="center"/>
      </w:pPr>
      <w:r>
        <w:t xml:space="preserve">Travail de groupe </w:t>
      </w:r>
    </w:p>
    <w:p w14:paraId="62DBF7DC" w14:textId="77777777" w:rsidR="00AF7A9A" w:rsidRPr="00286467" w:rsidRDefault="00AF7A9A" w:rsidP="00AF7A9A">
      <w:pPr>
        <w:rPr>
          <w:b/>
          <w:bCs/>
          <w:sz w:val="28"/>
          <w:szCs w:val="28"/>
        </w:rPr>
      </w:pPr>
      <w:r w:rsidRPr="00286467">
        <w:rPr>
          <w:b/>
          <w:bCs/>
          <w:sz w:val="28"/>
          <w:szCs w:val="28"/>
        </w:rPr>
        <w:t>Noms des participants</w:t>
      </w:r>
    </w:p>
    <w:p w14:paraId="5E2AA8C9" w14:textId="15F55746" w:rsidR="009061CF" w:rsidRPr="005F531D" w:rsidRDefault="00AF7A9A" w:rsidP="009061CF">
      <w:pPr>
        <w:pStyle w:val="Paragraphedeliste"/>
        <w:numPr>
          <w:ilvl w:val="0"/>
          <w:numId w:val="3"/>
        </w:numPr>
        <w:rPr>
          <w:b/>
          <w:bCs/>
        </w:rPr>
      </w:pPr>
      <w:r>
        <w:rPr>
          <w:b/>
          <w:bCs/>
        </w:rPr>
        <w:t xml:space="preserve">   </w:t>
      </w:r>
    </w:p>
    <w:p w14:paraId="0A34F35C" w14:textId="28E2D3D5" w:rsidR="009061CF" w:rsidRPr="005F531D" w:rsidRDefault="00AF7A9A" w:rsidP="009061CF">
      <w:pPr>
        <w:pStyle w:val="Paragraphedeliste"/>
        <w:numPr>
          <w:ilvl w:val="0"/>
          <w:numId w:val="3"/>
        </w:numPr>
        <w:rPr>
          <w:b/>
          <w:bCs/>
        </w:rPr>
      </w:pPr>
      <w:r>
        <w:rPr>
          <w:b/>
          <w:bCs/>
        </w:rPr>
        <w:t xml:space="preserve">  </w:t>
      </w:r>
    </w:p>
    <w:p w14:paraId="1642AA5B" w14:textId="1F6A1D55" w:rsidR="009061CF" w:rsidRPr="005F531D" w:rsidRDefault="00AF7A9A" w:rsidP="009061CF">
      <w:pPr>
        <w:pStyle w:val="Paragraphedeliste"/>
        <w:numPr>
          <w:ilvl w:val="0"/>
          <w:numId w:val="3"/>
        </w:numPr>
        <w:rPr>
          <w:b/>
          <w:bCs/>
        </w:rPr>
      </w:pPr>
      <w:r>
        <w:rPr>
          <w:b/>
          <w:bCs/>
        </w:rPr>
        <w:t xml:space="preserve">   </w:t>
      </w:r>
    </w:p>
    <w:p w14:paraId="750245AC" w14:textId="77777777" w:rsidR="00AF7A9A" w:rsidRDefault="00AF7A9A" w:rsidP="00AF7A9A">
      <w:pPr>
        <w:pStyle w:val="Paragraphedeliste"/>
        <w:numPr>
          <w:ilvl w:val="0"/>
          <w:numId w:val="3"/>
        </w:numPr>
        <w:rPr>
          <w:b/>
          <w:bCs/>
        </w:rPr>
      </w:pPr>
      <w:r>
        <w:rPr>
          <w:b/>
          <w:bCs/>
        </w:rPr>
        <w:t xml:space="preserve">  </w:t>
      </w:r>
    </w:p>
    <w:p w14:paraId="7337DC54" w14:textId="77777777" w:rsidR="00AF7A9A" w:rsidRPr="00AF7A9A" w:rsidRDefault="00AF7A9A" w:rsidP="00AF7A9A">
      <w:pPr>
        <w:rPr>
          <w:b/>
          <w:bCs/>
        </w:rPr>
      </w:pPr>
    </w:p>
    <w:p w14:paraId="410C84AB" w14:textId="77777777" w:rsidR="00AF7A9A" w:rsidRPr="00286467" w:rsidRDefault="00AF7A9A" w:rsidP="00AF7A9A">
      <w:pPr>
        <w:rPr>
          <w:b/>
          <w:bCs/>
          <w:sz w:val="28"/>
          <w:szCs w:val="28"/>
        </w:rPr>
      </w:pPr>
      <w:r w:rsidRPr="00286467">
        <w:rPr>
          <w:b/>
          <w:bCs/>
          <w:sz w:val="28"/>
          <w:szCs w:val="28"/>
        </w:rPr>
        <w:t>Consignes</w:t>
      </w:r>
    </w:p>
    <w:p w14:paraId="184A5B3B" w14:textId="6B9893C3" w:rsidR="00AF7A9A" w:rsidRDefault="00AF7A9A" w:rsidP="00AF7A9A">
      <w:r>
        <w:t>Vous travaillez au service communication du secrétariat d’Etat chargé de l’égalité entre les femmes et les hommes, vous devez réaliser une affiche pour sensibiliser les entreprises aux inégalités salariales en fonction </w:t>
      </w:r>
      <w:r w:rsidR="00C45744" w:rsidRPr="00C45744">
        <w:rPr>
          <w:b/>
          <w:bCs/>
        </w:rPr>
        <w:t>du genre</w:t>
      </w:r>
    </w:p>
    <w:p w14:paraId="38069C29" w14:textId="77777777" w:rsidR="00AF7A9A" w:rsidRDefault="00AF7A9A" w:rsidP="00AF7A9A">
      <w:r>
        <w:t>L’affiche doit contenir :</w:t>
      </w:r>
    </w:p>
    <w:p w14:paraId="70A19407" w14:textId="77777777" w:rsidR="00AF7A9A" w:rsidRDefault="00AF7A9A" w:rsidP="00AF7A9A">
      <w:pPr>
        <w:pStyle w:val="Paragraphedeliste"/>
        <w:numPr>
          <w:ilvl w:val="0"/>
          <w:numId w:val="1"/>
        </w:numPr>
      </w:pPr>
      <w:r>
        <w:t>Un titre</w:t>
      </w:r>
    </w:p>
    <w:p w14:paraId="01B8C729" w14:textId="77777777" w:rsidR="00AF7A9A" w:rsidRDefault="00AF7A9A" w:rsidP="00AF7A9A">
      <w:pPr>
        <w:pStyle w:val="Paragraphedeliste"/>
        <w:numPr>
          <w:ilvl w:val="0"/>
          <w:numId w:val="1"/>
        </w:numPr>
      </w:pPr>
      <w:r>
        <w:t>Une/des phrases choc</w:t>
      </w:r>
    </w:p>
    <w:p w14:paraId="28BD11B0" w14:textId="77777777" w:rsidR="00AF7A9A" w:rsidRDefault="00AF7A9A" w:rsidP="00AF7A9A">
      <w:pPr>
        <w:pStyle w:val="Paragraphedeliste"/>
        <w:numPr>
          <w:ilvl w:val="0"/>
          <w:numId w:val="1"/>
        </w:numPr>
      </w:pPr>
      <w:r>
        <w:t xml:space="preserve">Une image/une caricature/un dessin/schéma… illustrant les inégalités </w:t>
      </w:r>
    </w:p>
    <w:p w14:paraId="785C63B4" w14:textId="77777777" w:rsidR="00AF7A9A" w:rsidRDefault="00AF7A9A" w:rsidP="00AF7A9A">
      <w:pPr>
        <w:pStyle w:val="Paragraphedeliste"/>
        <w:numPr>
          <w:ilvl w:val="0"/>
          <w:numId w:val="1"/>
        </w:numPr>
      </w:pPr>
      <w:r>
        <w:t>Des données statistiques</w:t>
      </w:r>
    </w:p>
    <w:p w14:paraId="0B69EE46" w14:textId="77777777" w:rsidR="00AF7A9A" w:rsidRDefault="00AF7A9A" w:rsidP="00AF7A9A">
      <w:pPr>
        <w:pStyle w:val="Paragraphedeliste"/>
        <w:numPr>
          <w:ilvl w:val="0"/>
          <w:numId w:val="1"/>
        </w:numPr>
      </w:pPr>
      <w:r>
        <w:t>Le logo du ministère (en petit)</w:t>
      </w:r>
    </w:p>
    <w:p w14:paraId="79E6ACE5" w14:textId="77777777" w:rsidR="00AF7A9A" w:rsidRDefault="00AF7A9A" w:rsidP="00AF7A9A"/>
    <w:p w14:paraId="2183D99C" w14:textId="77777777" w:rsidR="00AF7A9A" w:rsidRDefault="00AF7A9A" w:rsidP="00AF7A9A">
      <w:r>
        <w:t>Pour vous aider à réaliser cette affiche des documents sont à votre disposition</w:t>
      </w:r>
    </w:p>
    <w:p w14:paraId="04372D37" w14:textId="5109BB35" w:rsidR="00C45744" w:rsidRDefault="00AF7A9A" w:rsidP="00AF7A9A">
      <w:r>
        <w:rPr>
          <w:u w:val="single"/>
        </w:rPr>
        <w:t>Attention :</w:t>
      </w:r>
      <w:r>
        <w:t xml:space="preserve"> Le but d’une affiche est d’interpeler le destinataire, il faut donc être efficace et éviter les longs textes qui ne se verront pas ou peu. </w:t>
      </w:r>
    </w:p>
    <w:p w14:paraId="5BB01BB5" w14:textId="77777777" w:rsidR="005F531D" w:rsidRPr="005F531D" w:rsidRDefault="005F531D" w:rsidP="005F531D">
      <w:pPr>
        <w:rPr>
          <w:b/>
          <w:bCs/>
          <w:sz w:val="28"/>
          <w:szCs w:val="28"/>
        </w:rPr>
      </w:pPr>
      <w:r w:rsidRPr="005F531D">
        <w:rPr>
          <w:b/>
          <w:bCs/>
          <w:sz w:val="28"/>
          <w:szCs w:val="28"/>
        </w:rPr>
        <w:t>Présentation de l’affiche</w:t>
      </w:r>
    </w:p>
    <w:p w14:paraId="7D5FB3B8" w14:textId="0C823878" w:rsidR="005F531D" w:rsidRDefault="005F531D" w:rsidP="00AF7A9A">
      <w:r>
        <w:t xml:space="preserve">A l’issue de la réalisation de votre affiche, vous présenterez cette dernière devant la classe en expliquant les causes et les conséquences de ces inégalités ainsi que votre choix de présentation d’affiche. </w:t>
      </w:r>
      <w:r>
        <w:br/>
        <w:t>La qualité de votre prestation orale fera partie intégrante de l’évaluation, et l’affiche sera accrochée dans la salle de classe.</w:t>
      </w:r>
    </w:p>
    <w:p w14:paraId="632A8E18" w14:textId="77777777" w:rsidR="00AF7A9A" w:rsidRPr="00286467" w:rsidRDefault="00AF7A9A" w:rsidP="00AF7A9A">
      <w:pPr>
        <w:rPr>
          <w:b/>
          <w:bCs/>
          <w:sz w:val="28"/>
          <w:szCs w:val="28"/>
        </w:rPr>
      </w:pPr>
      <w:r w:rsidRPr="00286467">
        <w:rPr>
          <w:b/>
          <w:bCs/>
          <w:sz w:val="28"/>
          <w:szCs w:val="28"/>
        </w:rPr>
        <w:t>Rôles au sein des groupes</w:t>
      </w:r>
    </w:p>
    <w:p w14:paraId="729A0B67" w14:textId="77777777" w:rsidR="00AF7A9A" w:rsidRDefault="00AF7A9A" w:rsidP="00AF7A9A">
      <w:pPr>
        <w:pStyle w:val="Paragraphedeliste"/>
        <w:numPr>
          <w:ilvl w:val="0"/>
          <w:numId w:val="1"/>
        </w:numPr>
      </w:pPr>
      <w:r>
        <w:t xml:space="preserve">Un ou deux élève en charge de répertorier les informations importantes </w:t>
      </w:r>
    </w:p>
    <w:p w14:paraId="1AB462B6" w14:textId="77777777" w:rsidR="00AF7A9A" w:rsidRDefault="00AF7A9A" w:rsidP="00AF7A9A">
      <w:pPr>
        <w:pStyle w:val="Paragraphedeliste"/>
        <w:numPr>
          <w:ilvl w:val="0"/>
          <w:numId w:val="1"/>
        </w:numPr>
      </w:pPr>
      <w:r>
        <w:t>Un élève en charge de vérifier que les consignes sont respectées</w:t>
      </w:r>
    </w:p>
    <w:p w14:paraId="153B9000" w14:textId="77777777" w:rsidR="00AF7A9A" w:rsidRDefault="00AF7A9A" w:rsidP="00AF7A9A">
      <w:pPr>
        <w:pStyle w:val="Paragraphedeliste"/>
        <w:numPr>
          <w:ilvl w:val="0"/>
          <w:numId w:val="1"/>
        </w:numPr>
      </w:pPr>
      <w:r>
        <w:t>Un élève en charge de veiller sur le temps restant et de « recentrer » sur le sujet</w:t>
      </w:r>
    </w:p>
    <w:p w14:paraId="2910061A" w14:textId="77777777" w:rsidR="00AF7A9A" w:rsidRDefault="00AF7A9A" w:rsidP="00AF7A9A"/>
    <w:p w14:paraId="66C6CC77" w14:textId="790D5FE5" w:rsidR="00AF7A9A" w:rsidRDefault="00AF7A9A" w:rsidP="00AF7A9A">
      <w:r>
        <w:rPr>
          <w:u w:val="single"/>
        </w:rPr>
        <w:t>Attention :</w:t>
      </w:r>
      <w:r>
        <w:t xml:space="preserve"> La production finale est à réaliser </w:t>
      </w:r>
      <w:r>
        <w:rPr>
          <w:b/>
          <w:bCs/>
          <w:u w:val="single"/>
        </w:rPr>
        <w:t>en groupe</w:t>
      </w:r>
      <w:r>
        <w:t xml:space="preserve">, les rôles de chacun viennent en plus de votre travail au sein du groupe </w:t>
      </w:r>
    </w:p>
    <w:p w14:paraId="1124D6F2" w14:textId="54C33085" w:rsidR="007B57D2" w:rsidRPr="007B57D2" w:rsidRDefault="007B57D2" w:rsidP="00AF7A9A">
      <w:r w:rsidRPr="005F531D">
        <w:rPr>
          <w:b/>
          <w:bCs/>
          <w:sz w:val="28"/>
          <w:szCs w:val="28"/>
        </w:rPr>
        <w:t>Durée de l’activité </w:t>
      </w:r>
      <w:r>
        <w:rPr>
          <w:b/>
          <w:bCs/>
        </w:rPr>
        <w:t>:</w:t>
      </w:r>
      <w:r>
        <w:t xml:space="preserve"> 4 séances d’une heure</w:t>
      </w:r>
    </w:p>
    <w:p w14:paraId="3ED7D4D9" w14:textId="77777777" w:rsidR="007B57D2" w:rsidRDefault="007B57D2" w:rsidP="00AF7A9A">
      <w:pPr>
        <w:rPr>
          <w:b/>
          <w:bCs/>
        </w:rPr>
      </w:pPr>
    </w:p>
    <w:p w14:paraId="739ED3D5" w14:textId="1DE29B13" w:rsidR="00AF7A9A" w:rsidRDefault="00AF7A9A" w:rsidP="0006467D">
      <w:pPr>
        <w:jc w:val="center"/>
        <w:rPr>
          <w:b/>
          <w:bCs/>
          <w:sz w:val="28"/>
          <w:szCs w:val="28"/>
        </w:rPr>
      </w:pPr>
      <w:r>
        <w:rPr>
          <w:b/>
          <w:bCs/>
        </w:rPr>
        <w:br w:type="column"/>
      </w:r>
      <w:r w:rsidRPr="00286467">
        <w:rPr>
          <w:b/>
          <w:bCs/>
          <w:sz w:val="28"/>
          <w:szCs w:val="28"/>
        </w:rPr>
        <w:lastRenderedPageBreak/>
        <w:t>Documents</w:t>
      </w:r>
    </w:p>
    <w:p w14:paraId="6412B0B3" w14:textId="77777777" w:rsidR="0006467D" w:rsidRPr="005A51C8" w:rsidRDefault="0006467D" w:rsidP="0006467D">
      <w:pPr>
        <w:rPr>
          <w:b/>
          <w:bCs/>
        </w:rPr>
      </w:pPr>
      <w:r>
        <w:rPr>
          <w:noProof/>
        </w:rPr>
        <w:drawing>
          <wp:anchor distT="0" distB="0" distL="114300" distR="114300" simplePos="0" relativeHeight="251660288" behindDoc="0" locked="0" layoutInCell="1" allowOverlap="1" wp14:anchorId="627752C9" wp14:editId="16AFD345">
            <wp:simplePos x="0" y="0"/>
            <wp:positionH relativeFrom="margin">
              <wp:align>right</wp:align>
            </wp:positionH>
            <wp:positionV relativeFrom="paragraph">
              <wp:posOffset>198755</wp:posOffset>
            </wp:positionV>
            <wp:extent cx="3000375" cy="2003425"/>
            <wp:effectExtent l="0" t="0" r="9525" b="0"/>
            <wp:wrapThrough wrapText="bothSides">
              <wp:wrapPolygon edited="0">
                <wp:start x="0" y="0"/>
                <wp:lineTo x="0" y="21360"/>
                <wp:lineTo x="21531" y="21360"/>
                <wp:lineTo x="21531" y="0"/>
                <wp:lineTo x="0" y="0"/>
              </wp:wrapPolygon>
            </wp:wrapThrough>
            <wp:docPr id="6" name="Image 6" descr="Des femmes manifestent en faveur de l’égalité salariale entre hommes et femmes, place de la République, à Paris, en novemb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 femmes manifestent en faveur de l’égalité salariale entre hommes et femmes, place de la République, à Paris, en novembre 20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1C8">
        <w:rPr>
          <w:b/>
          <w:bCs/>
        </w:rPr>
        <w:t>Document 1</w:t>
      </w:r>
    </w:p>
    <w:p w14:paraId="3C11B2AC" w14:textId="77777777" w:rsidR="0006467D" w:rsidRDefault="0006467D" w:rsidP="0006467D">
      <w:r>
        <w:t>Mesdames, arrêtez tout ! A partir du samedi 3 novembre, vous travaillerez pour des prunes. Puisque les femmes gagnent 16,2 % de moins que les hommes dans l’Union européenne, d’après Eurostat, c’est en effet après cette date qu’elles cessent symboliquement d’être rémunérées pour leur travail par rapport à leurs collègues masculins. Dans l’espoir de faire bouger les choses, Bruxelles a donc choisi de consacrer cette journée à l’égalité salariale.</w:t>
      </w:r>
    </w:p>
    <w:p w14:paraId="0E003CB1" w14:textId="77777777" w:rsidR="0006467D" w:rsidRDefault="0006467D" w:rsidP="0006467D">
      <w:pPr>
        <w:jc w:val="both"/>
      </w:pPr>
      <w:r>
        <w:rPr>
          <w:noProof/>
        </w:rPr>
        <mc:AlternateContent>
          <mc:Choice Requires="wps">
            <w:drawing>
              <wp:anchor distT="0" distB="0" distL="114300" distR="114300" simplePos="0" relativeHeight="251661312" behindDoc="0" locked="0" layoutInCell="1" allowOverlap="1" wp14:anchorId="7248C745" wp14:editId="6D118DA9">
                <wp:simplePos x="0" y="0"/>
                <wp:positionH relativeFrom="margin">
                  <wp:align>right</wp:align>
                </wp:positionH>
                <wp:positionV relativeFrom="paragraph">
                  <wp:posOffset>412750</wp:posOffset>
                </wp:positionV>
                <wp:extent cx="3000375" cy="450850"/>
                <wp:effectExtent l="0" t="0" r="9525" b="6350"/>
                <wp:wrapThrough wrapText="bothSides">
                  <wp:wrapPolygon edited="0">
                    <wp:start x="0" y="0"/>
                    <wp:lineTo x="0" y="20992"/>
                    <wp:lineTo x="21531" y="20992"/>
                    <wp:lineTo x="21531" y="0"/>
                    <wp:lineTo x="0" y="0"/>
                  </wp:wrapPolygon>
                </wp:wrapThrough>
                <wp:docPr id="5" name="Zone de texte 5"/>
                <wp:cNvGraphicFramePr/>
                <a:graphic xmlns:a="http://schemas.openxmlformats.org/drawingml/2006/main">
                  <a:graphicData uri="http://schemas.microsoft.com/office/word/2010/wordprocessingShape">
                    <wps:wsp>
                      <wps:cNvSpPr txBox="1"/>
                      <wps:spPr>
                        <a:xfrm>
                          <a:off x="0" y="0"/>
                          <a:ext cx="3000375" cy="450850"/>
                        </a:xfrm>
                        <a:prstGeom prst="rect">
                          <a:avLst/>
                        </a:prstGeom>
                        <a:solidFill>
                          <a:prstClr val="white"/>
                        </a:solidFill>
                        <a:ln>
                          <a:noFill/>
                        </a:ln>
                      </wps:spPr>
                      <wps:txbx>
                        <w:txbxContent>
                          <w:p w14:paraId="2A43E6B9" w14:textId="77777777" w:rsidR="0006467D" w:rsidRPr="00F13999" w:rsidRDefault="0006467D" w:rsidP="0006467D">
                            <w:pPr>
                              <w:pStyle w:val="Lgende"/>
                              <w:rPr>
                                <w:noProof/>
                              </w:rPr>
                            </w:pPr>
                            <w:r w:rsidRPr="009A318B">
                              <w:t>Des femmes manifestent en faveur de l’égalité salariale entre hommes et femmes, place de la République, à Paris, en novembre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48C745" id="_x0000_t202" coordsize="21600,21600" o:spt="202" path="m,l,21600r21600,l21600,xe">
                <v:stroke joinstyle="miter"/>
                <v:path gradientshapeok="t" o:connecttype="rect"/>
              </v:shapetype>
              <v:shape id="Zone de texte 5" o:spid="_x0000_s1026" type="#_x0000_t202" style="position:absolute;left:0;text-align:left;margin-left:185.05pt;margin-top:32.5pt;width:236.25pt;height:35.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" stroked="f">
                <v:textbox inset="0,0,0,0">
                  <w:txbxContent>
                    <w:p w14:paraId="2A43E6B9" w14:textId="77777777" w:rsidR="0006467D" w:rsidRPr="00F13999" w:rsidRDefault="0006467D" w:rsidP="0006467D">
                      <w:pPr>
                        <w:pStyle w:val="Lgende"/>
                        <w:rPr>
                          <w:noProof/>
                        </w:rPr>
                      </w:pPr>
                      <w:r w:rsidRPr="009A318B">
                        <w:t>Des femmes manifestent en faveur de l’égalité salariale entre hommes et femmes, place de la République, à Paris, en novembre 2016.</w:t>
                      </w:r>
                    </w:p>
                  </w:txbxContent>
                </v:textbox>
                <w10:wrap type="through" anchorx="margin"/>
              </v:shape>
            </w:pict>
          </mc:Fallback>
        </mc:AlternateContent>
      </w:r>
      <w:r>
        <w:t>Il y a du pain sur la planche, car la moyenne de 16,2 % masque d’immenses disparités selon les Etats. Le salaire horaire brut des femmes est ainsi de 6,1 % inférieur à celui des hommes en Belgique, et de 5,5 % plus bas au Luxembourg. C’est relativement peu. Mais l’écart monte à 20,1 % en Autriche, 21 % au Royaume-Uni et 21,5 % en Allemagne. La France, elle, est à 15,2 %, soit un peu moins que la moyenne européenne. Voilà pourquoi la lettre d’information féministe Les Glorieuses a fixé au 6 novembre, à 15 h 35 précises, le jour après lequel les Françaises travailleront pour rien. Elle a également lancé le mouvement #6novembre15h35 pour sensibiliser l’opinion à ce sujet.</w:t>
      </w:r>
    </w:p>
    <w:p w14:paraId="3A24FB5D" w14:textId="77777777" w:rsidR="0006467D" w:rsidRDefault="0006467D" w:rsidP="0006467D">
      <w:r w:rsidRPr="00DB5711">
        <w:rPr>
          <w:u w:val="single"/>
        </w:rPr>
        <w:t>Source</w:t>
      </w:r>
      <w:r>
        <w:t xml:space="preserve"> : Marie </w:t>
      </w:r>
      <w:proofErr w:type="spellStart"/>
      <w:r>
        <w:t>Charrel</w:t>
      </w:r>
      <w:proofErr w:type="spellEnd"/>
      <w:r>
        <w:t xml:space="preserve">, « Après le 3 novembre les Européennes travailleront pour…rien », Lemonde.fr, 2 novembre 2018 </w:t>
      </w:r>
      <w:hyperlink r:id="rId7" w:history="1">
        <w:r w:rsidRPr="004F1C74">
          <w:rPr>
            <w:rStyle w:val="Lienhypertexte"/>
          </w:rPr>
          <w:t>https://www.lemonde.fr/economie/article/2018/11/02/apres-le-3-novembre-les-europeennes-travailleront-pour-rien_5377910_3234.html</w:t>
        </w:r>
      </w:hyperlink>
    </w:p>
    <w:p w14:paraId="24678252" w14:textId="77777777" w:rsidR="0006467D" w:rsidRPr="005A51C8" w:rsidRDefault="0006467D" w:rsidP="0006467D">
      <w:pPr>
        <w:rPr>
          <w:b/>
          <w:bCs/>
        </w:rPr>
      </w:pPr>
      <w:r w:rsidRPr="005A51C8">
        <w:rPr>
          <w:b/>
          <w:bCs/>
        </w:rPr>
        <w:t>Document 2</w:t>
      </w:r>
    </w:p>
    <w:p w14:paraId="31FF444E" w14:textId="77777777" w:rsidR="0006467D" w:rsidRDefault="0006467D" w:rsidP="0006467D">
      <w:pPr>
        <w:jc w:val="both"/>
      </w:pPr>
      <w:r>
        <w:t xml:space="preserve">L’article 61 de la loi « pour la liberté de choisir son avenir professionnel », débattue au Parlement à partir du 11 juin, oblige les entreprises de plus de cinquante salariés à mesurer, notamment grâce à un indicateur chiffré, le respect du principe « à travail égal, salaire égal ». Mais il ne mentionne ni sanctions en cas de non-respect – malgré l’annonce de la ministre du travail, Muriel </w:t>
      </w:r>
      <w:proofErr w:type="spellStart"/>
      <w:r>
        <w:t>Penicaud</w:t>
      </w:r>
      <w:proofErr w:type="spellEnd"/>
      <w:r>
        <w:t>, le 8 mars – ni mesures permettant de réduire l’écart salarial entre hommes et femmes. [...]</w:t>
      </w:r>
    </w:p>
    <w:p w14:paraId="28EC26E0" w14:textId="77777777" w:rsidR="0006467D" w:rsidRDefault="0006467D" w:rsidP="0006467D">
      <w:pPr>
        <w:jc w:val="both"/>
      </w:pPr>
      <w:r>
        <w:t>Les mesures qui permettraient de réduire cet écart dépendent bien évidemment de l’origine des inégalités. Classiquement, les spécialistes s’accordent à le décomposer de la manière suivante : une partie s’explique par le fait que les femmes travaillent à temps partiel (l’écart se réduit alors à 19 %) ; une autre par les différences de secteurs d’activité, les caractéristiques professionnelles et l’expérience ; et une dernière partie est « inexpliquée ».</w:t>
      </w:r>
    </w:p>
    <w:p w14:paraId="069C1E3E" w14:textId="77777777" w:rsidR="0006467D" w:rsidRPr="00C65C2C" w:rsidRDefault="0006467D" w:rsidP="0006467D">
      <w:pPr>
        <w:jc w:val="both"/>
        <w:rPr>
          <w:b/>
          <w:bCs/>
        </w:rPr>
      </w:pPr>
      <w:r w:rsidRPr="00C65C2C">
        <w:rPr>
          <w:b/>
          <w:bCs/>
        </w:rPr>
        <w:t>La maternité, la super-explication</w:t>
      </w:r>
    </w:p>
    <w:p w14:paraId="2E40F336" w14:textId="77777777" w:rsidR="0006467D" w:rsidRDefault="0006467D" w:rsidP="0006467D">
      <w:pPr>
        <w:jc w:val="both"/>
      </w:pPr>
      <w:r>
        <w:t xml:space="preserve">Dans une étude récente sur le cas danois, l’économiste Camille Landais et ses collègues ont proposé une sorte de super-explication, englobant toutes les autres : la maternité (« </w:t>
      </w:r>
      <w:proofErr w:type="spellStart"/>
      <w:r>
        <w:t>Children</w:t>
      </w:r>
      <w:proofErr w:type="spellEnd"/>
      <w:r>
        <w:t xml:space="preserve"> and </w:t>
      </w:r>
      <w:proofErr w:type="spellStart"/>
      <w:r>
        <w:t>Gender</w:t>
      </w:r>
      <w:proofErr w:type="spellEnd"/>
      <w:r>
        <w:t xml:space="preserve"> </w:t>
      </w:r>
      <w:proofErr w:type="spellStart"/>
      <w:r>
        <w:t>Inequality</w:t>
      </w:r>
      <w:proofErr w:type="spellEnd"/>
      <w:r>
        <w:t xml:space="preserve"> : Evidence </w:t>
      </w:r>
      <w:proofErr w:type="spellStart"/>
      <w:r>
        <w:t>from</w:t>
      </w:r>
      <w:proofErr w:type="spellEnd"/>
      <w:r>
        <w:t xml:space="preserve"> </w:t>
      </w:r>
      <w:proofErr w:type="spellStart"/>
      <w:r>
        <w:t>Denmark</w:t>
      </w:r>
      <w:proofErr w:type="spellEnd"/>
      <w:r>
        <w:t xml:space="preserve"> », Henrik </w:t>
      </w:r>
      <w:proofErr w:type="spellStart"/>
      <w:r>
        <w:t>Kleven</w:t>
      </w:r>
      <w:proofErr w:type="spellEnd"/>
      <w:r>
        <w:t xml:space="preserve">, Camille Landais, Jakob </w:t>
      </w:r>
      <w:proofErr w:type="spellStart"/>
      <w:r>
        <w:t>Egholt</w:t>
      </w:r>
      <w:proofErr w:type="spellEnd"/>
      <w:r>
        <w:t xml:space="preserve"> </w:t>
      </w:r>
      <w:proofErr w:type="spellStart"/>
      <w:r>
        <w:t>Søgaard</w:t>
      </w:r>
      <w:proofErr w:type="spellEnd"/>
      <w:r>
        <w:t xml:space="preserve">, </w:t>
      </w:r>
      <w:proofErr w:type="spellStart"/>
      <w:r>
        <w:t>Working</w:t>
      </w:r>
      <w:proofErr w:type="spellEnd"/>
      <w:r>
        <w:t xml:space="preserve"> Paper n° 24219, National Bureau of </w:t>
      </w:r>
      <w:proofErr w:type="spellStart"/>
      <w:r>
        <w:t>Economic</w:t>
      </w:r>
      <w:proofErr w:type="spellEnd"/>
      <w:r>
        <w:t xml:space="preserve"> </w:t>
      </w:r>
      <w:proofErr w:type="spellStart"/>
      <w:r>
        <w:t>Research</w:t>
      </w:r>
      <w:proofErr w:type="spellEnd"/>
      <w:r>
        <w:t xml:space="preserve">, janvier 2018). </w:t>
      </w:r>
    </w:p>
    <w:p w14:paraId="0CBF2B6C" w14:textId="77777777" w:rsidR="0006467D" w:rsidRDefault="0006467D" w:rsidP="0006467D">
      <w:pPr>
        <w:jc w:val="both"/>
      </w:pPr>
      <w:r w:rsidRPr="00C65C2C">
        <w:t>Des chercheuses de l’INED avaient mis en évidence, dès 2006 pour le cas français, que l’arrivée d’un enfant s’accompagnait pour 40 % des femmes (contre 6 % seulement des hommes) d’une modification de l’activité professionnelle (changement de poste, réduction du temps de travail…).</w:t>
      </w:r>
      <w:r>
        <w:t xml:space="preserve"> [Cela] se traduit non seulement par quelques semaines de congé légal, mais aussi par de petits arrêts de travail pour enfant malade, le temps partiel du mercredi, la responsabilité d’habiller les enfants le matin, toutes tâches qui continuent d’incomber prioritairement aux mères. Ce n’est donc pas la maternité mais la division traditionnelle [des tâches] et les stéréotypes des rôles, renforcés par l’arrivée d’un enfant, qui engendre une série de conséquences, parmi lesquelles une partie des inégalités salariales.</w:t>
      </w:r>
    </w:p>
    <w:p w14:paraId="1CF188AE" w14:textId="77777777" w:rsidR="0006467D" w:rsidRDefault="0006467D" w:rsidP="0006467D">
      <w:pPr>
        <w:spacing w:after="0" w:line="240" w:lineRule="auto"/>
        <w:jc w:val="both"/>
      </w:pPr>
      <w:r w:rsidRPr="00F83CC2">
        <w:rPr>
          <w:u w:val="single"/>
        </w:rPr>
        <w:t>Source</w:t>
      </w:r>
      <w:r>
        <w:t> : Dominique Méda, « L’inégalité de salaire hommes-femmes c’est de naissance ! », lemonde.fr, juin 2018.</w:t>
      </w:r>
    </w:p>
    <w:p w14:paraId="791548C2" w14:textId="77777777" w:rsidR="0006467D" w:rsidRDefault="0006467D" w:rsidP="0006467D">
      <w:pPr>
        <w:spacing w:after="0" w:line="240" w:lineRule="auto"/>
        <w:jc w:val="both"/>
      </w:pPr>
      <w:hyperlink r:id="rId8" w:history="1">
        <w:r w:rsidRPr="004F1C74">
          <w:rPr>
            <w:rStyle w:val="Lienhypertexte"/>
          </w:rPr>
          <w:t>https://www.lemonde.fr/idees/article/2018/06/08/l-inegalite-de-salaire-hommes-femmes-c-est-de-naissance_5311573_3232.html</w:t>
        </w:r>
      </w:hyperlink>
    </w:p>
    <w:p w14:paraId="40953A9B" w14:textId="77777777" w:rsidR="0006467D" w:rsidRPr="0010010A" w:rsidRDefault="0006467D" w:rsidP="0006467D">
      <w:pPr>
        <w:jc w:val="both"/>
        <w:rPr>
          <w:b/>
          <w:bCs/>
        </w:rPr>
      </w:pPr>
      <w:r w:rsidRPr="0010010A">
        <w:rPr>
          <w:b/>
          <w:bCs/>
        </w:rPr>
        <w:lastRenderedPageBreak/>
        <w:t>Document 3</w:t>
      </w:r>
    </w:p>
    <w:p w14:paraId="37F6172A" w14:textId="77777777" w:rsidR="0006467D" w:rsidRDefault="0006467D" w:rsidP="0006467D"/>
    <w:p w14:paraId="76E36B57" w14:textId="77777777" w:rsidR="0006467D" w:rsidRDefault="0006467D" w:rsidP="0006467D">
      <w:pPr>
        <w:jc w:val="center"/>
      </w:pPr>
      <w:r w:rsidRPr="0010010A">
        <w:drawing>
          <wp:inline distT="0" distB="0" distL="0" distR="0" wp14:anchorId="5574864D" wp14:editId="72512630">
            <wp:extent cx="5760720" cy="5760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760720"/>
                    </a:xfrm>
                    <a:prstGeom prst="rect">
                      <a:avLst/>
                    </a:prstGeom>
                  </pic:spPr>
                </pic:pic>
              </a:graphicData>
            </a:graphic>
          </wp:inline>
        </w:drawing>
      </w:r>
    </w:p>
    <w:p w14:paraId="0D99D495" w14:textId="77777777" w:rsidR="0006467D" w:rsidRDefault="0006467D" w:rsidP="0006467D">
      <w:pPr>
        <w:jc w:val="right"/>
      </w:pPr>
    </w:p>
    <w:p w14:paraId="617D01DD" w14:textId="77777777" w:rsidR="0006467D" w:rsidRDefault="0006467D" w:rsidP="0006467D">
      <w:pPr>
        <w:jc w:val="right"/>
      </w:pPr>
      <w:hyperlink r:id="rId10" w:history="1">
        <w:r w:rsidRPr="004F1C74">
          <w:rPr>
            <w:rStyle w:val="Lienhypertexte"/>
          </w:rPr>
          <w:t>https://www.lejdd.fr/Economie/egalite-salariale-femmes-hommes-ce-qui-doit-changer-3551468</w:t>
        </w:r>
      </w:hyperlink>
    </w:p>
    <w:p w14:paraId="44493AF9" w14:textId="77777777" w:rsidR="0006467D" w:rsidRDefault="0006467D" w:rsidP="00AF7A9A">
      <w:pPr>
        <w:rPr>
          <w:i/>
          <w:iCs/>
          <w:sz w:val="18"/>
          <w:szCs w:val="18"/>
        </w:rPr>
      </w:pPr>
    </w:p>
    <w:p w14:paraId="5FC47977" w14:textId="77777777" w:rsidR="0006467D" w:rsidRDefault="0006467D" w:rsidP="00AF7A9A">
      <w:pPr>
        <w:rPr>
          <w:i/>
          <w:iCs/>
          <w:sz w:val="18"/>
          <w:szCs w:val="18"/>
        </w:rPr>
      </w:pPr>
    </w:p>
    <w:p w14:paraId="0937332C" w14:textId="77777777" w:rsidR="0006467D" w:rsidRDefault="0006467D" w:rsidP="00AF7A9A">
      <w:pPr>
        <w:rPr>
          <w:i/>
          <w:iCs/>
          <w:sz w:val="18"/>
          <w:szCs w:val="18"/>
        </w:rPr>
      </w:pPr>
    </w:p>
    <w:p w14:paraId="5718B7DC" w14:textId="77777777" w:rsidR="0006467D" w:rsidRDefault="0006467D">
      <w:pPr>
        <w:rPr>
          <w:i/>
          <w:iCs/>
          <w:sz w:val="18"/>
          <w:szCs w:val="18"/>
        </w:rPr>
      </w:pPr>
      <w:r>
        <w:rPr>
          <w:i/>
          <w:iCs/>
          <w:sz w:val="18"/>
          <w:szCs w:val="18"/>
        </w:rPr>
        <w:br w:type="page"/>
      </w:r>
    </w:p>
    <w:p w14:paraId="699E1610" w14:textId="3EB83705" w:rsidR="00157ABC" w:rsidRPr="004C4724" w:rsidRDefault="00157ABC" w:rsidP="00AF7A9A">
      <w:pPr>
        <w:rPr>
          <w:i/>
          <w:iCs/>
          <w:sz w:val="18"/>
          <w:szCs w:val="18"/>
        </w:rPr>
        <w:sectPr w:rsidR="00157ABC" w:rsidRPr="004C4724" w:rsidSect="0006467D">
          <w:pgSz w:w="11906" w:h="16838"/>
          <w:pgMar w:top="720" w:right="720" w:bottom="720" w:left="720" w:header="708" w:footer="708" w:gutter="0"/>
          <w:cols w:space="708"/>
          <w:docGrid w:linePitch="360"/>
        </w:sectPr>
      </w:pPr>
    </w:p>
    <w:p w14:paraId="2BFC1076" w14:textId="77777777" w:rsidR="00157ABC" w:rsidRDefault="00157ABC" w:rsidP="00157ABC">
      <w:pPr>
        <w:rPr>
          <w:b/>
          <w:bCs/>
        </w:rPr>
      </w:pPr>
      <w:r>
        <w:rPr>
          <w:b/>
          <w:bCs/>
        </w:rPr>
        <w:lastRenderedPageBreak/>
        <w:t>Grille d’évaluation de l’affiche</w:t>
      </w:r>
    </w:p>
    <w:tbl>
      <w:tblPr>
        <w:tblStyle w:val="Grilledutableau"/>
        <w:tblW w:w="14565" w:type="dxa"/>
        <w:tblInd w:w="0" w:type="dxa"/>
        <w:tblLook w:val="04A0" w:firstRow="1" w:lastRow="0" w:firstColumn="1" w:lastColumn="0" w:noHBand="0" w:noVBand="1"/>
      </w:tblPr>
      <w:tblGrid>
        <w:gridCol w:w="12430"/>
        <w:gridCol w:w="583"/>
        <w:gridCol w:w="509"/>
        <w:gridCol w:w="446"/>
        <w:gridCol w:w="597"/>
      </w:tblGrid>
      <w:tr w:rsidR="00157ABC" w14:paraId="2A89D7C1" w14:textId="77777777" w:rsidTr="00157ABC">
        <w:trPr>
          <w:trHeight w:val="311"/>
        </w:trPr>
        <w:tc>
          <w:tcPr>
            <w:tcW w:w="12430" w:type="dxa"/>
            <w:tcBorders>
              <w:top w:val="single" w:sz="4" w:space="0" w:color="auto"/>
              <w:left w:val="single" w:sz="4" w:space="0" w:color="auto"/>
              <w:bottom w:val="single" w:sz="4" w:space="0" w:color="auto"/>
              <w:right w:val="single" w:sz="4" w:space="0" w:color="auto"/>
            </w:tcBorders>
            <w:hideMark/>
          </w:tcPr>
          <w:p w14:paraId="001051D1" w14:textId="77777777" w:rsidR="00157ABC" w:rsidRDefault="00157ABC">
            <w:pPr>
              <w:rPr>
                <w:b/>
                <w:bCs/>
              </w:rPr>
            </w:pPr>
            <w:r>
              <w:rPr>
                <w:b/>
                <w:bCs/>
              </w:rPr>
              <w:t>Objectifs</w:t>
            </w:r>
          </w:p>
        </w:tc>
        <w:tc>
          <w:tcPr>
            <w:tcW w:w="583" w:type="dxa"/>
            <w:tcBorders>
              <w:top w:val="single" w:sz="4" w:space="0" w:color="auto"/>
              <w:left w:val="single" w:sz="4" w:space="0" w:color="auto"/>
              <w:bottom w:val="single" w:sz="4" w:space="0" w:color="auto"/>
              <w:right w:val="single" w:sz="4" w:space="0" w:color="auto"/>
            </w:tcBorders>
            <w:hideMark/>
          </w:tcPr>
          <w:p w14:paraId="0D1F7554" w14:textId="77777777" w:rsidR="00157ABC" w:rsidRDefault="00157ABC">
            <w:pPr>
              <w:jc w:val="center"/>
              <w:rPr>
                <w:b/>
                <w:bCs/>
              </w:rPr>
            </w:pPr>
            <w:r>
              <w:rPr>
                <w:b/>
                <w:bCs/>
              </w:rPr>
              <w:t>--</w:t>
            </w:r>
          </w:p>
        </w:tc>
        <w:tc>
          <w:tcPr>
            <w:tcW w:w="509" w:type="dxa"/>
            <w:tcBorders>
              <w:top w:val="single" w:sz="4" w:space="0" w:color="auto"/>
              <w:left w:val="single" w:sz="4" w:space="0" w:color="auto"/>
              <w:bottom w:val="single" w:sz="4" w:space="0" w:color="auto"/>
              <w:right w:val="single" w:sz="4" w:space="0" w:color="auto"/>
            </w:tcBorders>
            <w:hideMark/>
          </w:tcPr>
          <w:p w14:paraId="0AE4C60D" w14:textId="77777777" w:rsidR="00157ABC" w:rsidRDefault="00157ABC">
            <w:pPr>
              <w:jc w:val="center"/>
              <w:rPr>
                <w:b/>
                <w:bCs/>
              </w:rPr>
            </w:pPr>
            <w:r>
              <w:rPr>
                <w:b/>
                <w:bCs/>
              </w:rPr>
              <w:t>-</w:t>
            </w:r>
          </w:p>
        </w:tc>
        <w:tc>
          <w:tcPr>
            <w:tcW w:w="446" w:type="dxa"/>
            <w:tcBorders>
              <w:top w:val="single" w:sz="4" w:space="0" w:color="auto"/>
              <w:left w:val="single" w:sz="4" w:space="0" w:color="auto"/>
              <w:bottom w:val="single" w:sz="4" w:space="0" w:color="auto"/>
              <w:right w:val="single" w:sz="4" w:space="0" w:color="auto"/>
            </w:tcBorders>
            <w:hideMark/>
          </w:tcPr>
          <w:p w14:paraId="058E9A24" w14:textId="77777777" w:rsidR="00157ABC" w:rsidRDefault="00157ABC">
            <w:pPr>
              <w:jc w:val="center"/>
              <w:rPr>
                <w:b/>
                <w:bCs/>
              </w:rPr>
            </w:pPr>
            <w:r>
              <w:rPr>
                <w:b/>
                <w:bCs/>
              </w:rPr>
              <w:t>+</w:t>
            </w:r>
          </w:p>
        </w:tc>
        <w:tc>
          <w:tcPr>
            <w:tcW w:w="597" w:type="dxa"/>
            <w:tcBorders>
              <w:top w:val="single" w:sz="4" w:space="0" w:color="auto"/>
              <w:left w:val="single" w:sz="4" w:space="0" w:color="auto"/>
              <w:bottom w:val="single" w:sz="4" w:space="0" w:color="auto"/>
              <w:right w:val="single" w:sz="4" w:space="0" w:color="auto"/>
            </w:tcBorders>
            <w:hideMark/>
          </w:tcPr>
          <w:p w14:paraId="4ABC07F3" w14:textId="77777777" w:rsidR="00157ABC" w:rsidRDefault="00157ABC">
            <w:pPr>
              <w:jc w:val="center"/>
              <w:rPr>
                <w:b/>
                <w:bCs/>
              </w:rPr>
            </w:pPr>
            <w:r>
              <w:rPr>
                <w:b/>
                <w:bCs/>
              </w:rPr>
              <w:t>++</w:t>
            </w:r>
          </w:p>
        </w:tc>
      </w:tr>
      <w:tr w:rsidR="00157ABC" w14:paraId="61402F76" w14:textId="77777777" w:rsidTr="00157ABC">
        <w:trPr>
          <w:trHeight w:val="886"/>
        </w:trPr>
        <w:tc>
          <w:tcPr>
            <w:tcW w:w="12430" w:type="dxa"/>
            <w:tcBorders>
              <w:top w:val="single" w:sz="4" w:space="0" w:color="auto"/>
              <w:left w:val="single" w:sz="4" w:space="0" w:color="auto"/>
              <w:bottom w:val="single" w:sz="4" w:space="0" w:color="auto"/>
              <w:right w:val="single" w:sz="4" w:space="0" w:color="auto"/>
            </w:tcBorders>
            <w:hideMark/>
          </w:tcPr>
          <w:p w14:paraId="0526CCA7" w14:textId="77777777" w:rsidR="00157ABC" w:rsidRDefault="00157ABC">
            <w:r>
              <w:t>Nous avons relié au cours</w:t>
            </w:r>
          </w:p>
          <w:p w14:paraId="3C85C55C" w14:textId="77777777" w:rsidR="00157ABC" w:rsidRDefault="00157ABC" w:rsidP="00157ABC">
            <w:pPr>
              <w:pStyle w:val="Paragraphedeliste"/>
              <w:numPr>
                <w:ilvl w:val="0"/>
                <w:numId w:val="4"/>
              </w:numPr>
            </w:pPr>
            <w:r>
              <w:t>Nous avons défini le genre ou l’âge</w:t>
            </w:r>
          </w:p>
          <w:p w14:paraId="72F13814" w14:textId="77777777" w:rsidR="00157ABC" w:rsidRDefault="00157ABC" w:rsidP="00157ABC">
            <w:pPr>
              <w:pStyle w:val="Paragraphedeliste"/>
              <w:numPr>
                <w:ilvl w:val="0"/>
                <w:numId w:val="4"/>
              </w:numPr>
            </w:pPr>
            <w:r>
              <w:t>Nous avons défini la notion de salaire, de chômage et d’emploi</w:t>
            </w:r>
          </w:p>
        </w:tc>
        <w:tc>
          <w:tcPr>
            <w:tcW w:w="583" w:type="dxa"/>
            <w:tcBorders>
              <w:top w:val="single" w:sz="4" w:space="0" w:color="auto"/>
              <w:left w:val="single" w:sz="4" w:space="0" w:color="auto"/>
              <w:bottom w:val="single" w:sz="4" w:space="0" w:color="auto"/>
              <w:right w:val="single" w:sz="4" w:space="0" w:color="auto"/>
            </w:tcBorders>
          </w:tcPr>
          <w:p w14:paraId="2B01596B" w14:textId="77777777" w:rsidR="00157ABC" w:rsidRDefault="00157ABC"/>
        </w:tc>
        <w:tc>
          <w:tcPr>
            <w:tcW w:w="509" w:type="dxa"/>
            <w:tcBorders>
              <w:top w:val="single" w:sz="4" w:space="0" w:color="auto"/>
              <w:left w:val="single" w:sz="4" w:space="0" w:color="auto"/>
              <w:bottom w:val="single" w:sz="4" w:space="0" w:color="auto"/>
              <w:right w:val="single" w:sz="4" w:space="0" w:color="auto"/>
            </w:tcBorders>
          </w:tcPr>
          <w:p w14:paraId="6DD024FA" w14:textId="77777777" w:rsidR="00157ABC" w:rsidRDefault="00157ABC"/>
        </w:tc>
        <w:tc>
          <w:tcPr>
            <w:tcW w:w="446" w:type="dxa"/>
            <w:tcBorders>
              <w:top w:val="single" w:sz="4" w:space="0" w:color="auto"/>
              <w:left w:val="single" w:sz="4" w:space="0" w:color="auto"/>
              <w:bottom w:val="single" w:sz="4" w:space="0" w:color="auto"/>
              <w:right w:val="single" w:sz="4" w:space="0" w:color="auto"/>
            </w:tcBorders>
          </w:tcPr>
          <w:p w14:paraId="6527731E" w14:textId="77777777" w:rsidR="00157ABC" w:rsidRDefault="00157ABC"/>
        </w:tc>
        <w:tc>
          <w:tcPr>
            <w:tcW w:w="597" w:type="dxa"/>
            <w:tcBorders>
              <w:top w:val="single" w:sz="4" w:space="0" w:color="auto"/>
              <w:left w:val="single" w:sz="4" w:space="0" w:color="auto"/>
              <w:bottom w:val="single" w:sz="4" w:space="0" w:color="auto"/>
              <w:right w:val="single" w:sz="4" w:space="0" w:color="auto"/>
            </w:tcBorders>
          </w:tcPr>
          <w:p w14:paraId="3578401C" w14:textId="77777777" w:rsidR="00157ABC" w:rsidRDefault="00157ABC"/>
        </w:tc>
      </w:tr>
      <w:tr w:rsidR="00157ABC" w14:paraId="5F661956" w14:textId="77777777" w:rsidTr="00157ABC">
        <w:trPr>
          <w:trHeight w:val="898"/>
        </w:trPr>
        <w:tc>
          <w:tcPr>
            <w:tcW w:w="12430" w:type="dxa"/>
            <w:tcBorders>
              <w:top w:val="single" w:sz="4" w:space="0" w:color="auto"/>
              <w:left w:val="single" w:sz="4" w:space="0" w:color="auto"/>
              <w:bottom w:val="single" w:sz="4" w:space="0" w:color="auto"/>
              <w:right w:val="single" w:sz="4" w:space="0" w:color="auto"/>
            </w:tcBorders>
            <w:hideMark/>
          </w:tcPr>
          <w:p w14:paraId="7669B208" w14:textId="77777777" w:rsidR="00157ABC" w:rsidRDefault="00157ABC">
            <w:r>
              <w:t>Repérer les principales informations d’un document</w:t>
            </w:r>
          </w:p>
          <w:p w14:paraId="4FDFD9E3" w14:textId="77777777" w:rsidR="00157ABC" w:rsidRDefault="00157ABC" w:rsidP="00157ABC">
            <w:pPr>
              <w:pStyle w:val="Paragraphedeliste"/>
              <w:numPr>
                <w:ilvl w:val="0"/>
                <w:numId w:val="4"/>
              </w:numPr>
            </w:pPr>
            <w:r>
              <w:t>Nous avons ressorti les informations principales d’un texte</w:t>
            </w:r>
          </w:p>
          <w:p w14:paraId="59B6B267" w14:textId="77777777" w:rsidR="00157ABC" w:rsidRDefault="00157ABC" w:rsidP="00157ABC">
            <w:pPr>
              <w:pStyle w:val="Paragraphedeliste"/>
              <w:numPr>
                <w:ilvl w:val="0"/>
                <w:numId w:val="4"/>
              </w:numPr>
            </w:pPr>
            <w:r>
              <w:t>Nous avons lu, interprété et calculé des statistiques</w:t>
            </w:r>
          </w:p>
        </w:tc>
        <w:tc>
          <w:tcPr>
            <w:tcW w:w="583" w:type="dxa"/>
            <w:tcBorders>
              <w:top w:val="single" w:sz="4" w:space="0" w:color="auto"/>
              <w:left w:val="single" w:sz="4" w:space="0" w:color="auto"/>
              <w:bottom w:val="single" w:sz="4" w:space="0" w:color="auto"/>
              <w:right w:val="single" w:sz="4" w:space="0" w:color="auto"/>
            </w:tcBorders>
          </w:tcPr>
          <w:p w14:paraId="50E70A8F" w14:textId="77777777" w:rsidR="00157ABC" w:rsidRDefault="00157ABC"/>
        </w:tc>
        <w:tc>
          <w:tcPr>
            <w:tcW w:w="509" w:type="dxa"/>
            <w:tcBorders>
              <w:top w:val="single" w:sz="4" w:space="0" w:color="auto"/>
              <w:left w:val="single" w:sz="4" w:space="0" w:color="auto"/>
              <w:bottom w:val="single" w:sz="4" w:space="0" w:color="auto"/>
              <w:right w:val="single" w:sz="4" w:space="0" w:color="auto"/>
            </w:tcBorders>
          </w:tcPr>
          <w:p w14:paraId="4A8CF46E" w14:textId="77777777" w:rsidR="00157ABC" w:rsidRDefault="00157ABC"/>
        </w:tc>
        <w:tc>
          <w:tcPr>
            <w:tcW w:w="446" w:type="dxa"/>
            <w:tcBorders>
              <w:top w:val="single" w:sz="4" w:space="0" w:color="auto"/>
              <w:left w:val="single" w:sz="4" w:space="0" w:color="auto"/>
              <w:bottom w:val="single" w:sz="4" w:space="0" w:color="auto"/>
              <w:right w:val="single" w:sz="4" w:space="0" w:color="auto"/>
            </w:tcBorders>
          </w:tcPr>
          <w:p w14:paraId="1C89E9B1" w14:textId="77777777" w:rsidR="00157ABC" w:rsidRDefault="00157ABC"/>
        </w:tc>
        <w:tc>
          <w:tcPr>
            <w:tcW w:w="597" w:type="dxa"/>
            <w:tcBorders>
              <w:top w:val="single" w:sz="4" w:space="0" w:color="auto"/>
              <w:left w:val="single" w:sz="4" w:space="0" w:color="auto"/>
              <w:bottom w:val="single" w:sz="4" w:space="0" w:color="auto"/>
              <w:right w:val="single" w:sz="4" w:space="0" w:color="auto"/>
            </w:tcBorders>
          </w:tcPr>
          <w:p w14:paraId="71D6FAF2" w14:textId="77777777" w:rsidR="00157ABC" w:rsidRDefault="00157ABC"/>
        </w:tc>
      </w:tr>
      <w:tr w:rsidR="00157ABC" w14:paraId="2998B5B0" w14:textId="77777777" w:rsidTr="00157ABC">
        <w:trPr>
          <w:trHeight w:val="2016"/>
        </w:trPr>
        <w:tc>
          <w:tcPr>
            <w:tcW w:w="12430" w:type="dxa"/>
            <w:tcBorders>
              <w:top w:val="single" w:sz="4" w:space="0" w:color="auto"/>
              <w:left w:val="single" w:sz="4" w:space="0" w:color="auto"/>
              <w:bottom w:val="single" w:sz="4" w:space="0" w:color="auto"/>
              <w:right w:val="single" w:sz="4" w:space="0" w:color="auto"/>
            </w:tcBorders>
            <w:hideMark/>
          </w:tcPr>
          <w:p w14:paraId="6AE6E928" w14:textId="77777777" w:rsidR="00157ABC" w:rsidRDefault="00157ABC">
            <w:r>
              <w:t>Nous avons réalisé une affiche qui attire l’œil et qui reprend les codes d’une sensibilisation</w:t>
            </w:r>
          </w:p>
          <w:p w14:paraId="378B9978" w14:textId="77777777" w:rsidR="00157ABC" w:rsidRDefault="00157ABC" w:rsidP="00157ABC">
            <w:pPr>
              <w:pStyle w:val="Paragraphedeliste"/>
              <w:numPr>
                <w:ilvl w:val="0"/>
                <w:numId w:val="5"/>
              </w:numPr>
            </w:pPr>
            <w:r>
              <w:t>Titre</w:t>
            </w:r>
          </w:p>
          <w:p w14:paraId="018B66D7" w14:textId="77777777" w:rsidR="00157ABC" w:rsidRDefault="00157ABC" w:rsidP="00157ABC">
            <w:pPr>
              <w:pStyle w:val="Paragraphedeliste"/>
              <w:numPr>
                <w:ilvl w:val="0"/>
                <w:numId w:val="5"/>
              </w:numPr>
            </w:pPr>
            <w:r>
              <w:t>Phrase accrocheuse</w:t>
            </w:r>
          </w:p>
          <w:p w14:paraId="5BF4FC34" w14:textId="77777777" w:rsidR="00157ABC" w:rsidRDefault="00157ABC" w:rsidP="00157ABC">
            <w:pPr>
              <w:pStyle w:val="Paragraphedeliste"/>
              <w:numPr>
                <w:ilvl w:val="0"/>
                <w:numId w:val="5"/>
              </w:numPr>
            </w:pPr>
            <w:r>
              <w:t>Des données statistiques montrant un constat de la situation</w:t>
            </w:r>
          </w:p>
          <w:p w14:paraId="607C3646" w14:textId="77777777" w:rsidR="00157ABC" w:rsidRDefault="00157ABC" w:rsidP="00157ABC">
            <w:pPr>
              <w:pStyle w:val="Paragraphedeliste"/>
              <w:numPr>
                <w:ilvl w:val="0"/>
                <w:numId w:val="5"/>
              </w:numPr>
            </w:pPr>
            <w:r>
              <w:t>Une/des caricature(s), image(s), dessin(s) montrant les inégalités</w:t>
            </w:r>
          </w:p>
          <w:p w14:paraId="183B0981" w14:textId="77777777" w:rsidR="00157ABC" w:rsidRDefault="00157ABC" w:rsidP="00157ABC">
            <w:pPr>
              <w:pStyle w:val="Paragraphedeliste"/>
              <w:numPr>
                <w:ilvl w:val="0"/>
                <w:numId w:val="5"/>
              </w:numPr>
            </w:pPr>
            <w:r>
              <w:t>Logo du ministère</w:t>
            </w:r>
          </w:p>
          <w:p w14:paraId="2BE846D2" w14:textId="77777777" w:rsidR="00157ABC" w:rsidRDefault="00157ABC" w:rsidP="00157ABC">
            <w:pPr>
              <w:pStyle w:val="Paragraphedeliste"/>
              <w:numPr>
                <w:ilvl w:val="0"/>
                <w:numId w:val="5"/>
              </w:numPr>
            </w:pPr>
            <w:r>
              <w:t>Partie texte explicative courte</w:t>
            </w:r>
          </w:p>
        </w:tc>
        <w:tc>
          <w:tcPr>
            <w:tcW w:w="583" w:type="dxa"/>
            <w:tcBorders>
              <w:top w:val="single" w:sz="4" w:space="0" w:color="auto"/>
              <w:left w:val="single" w:sz="4" w:space="0" w:color="auto"/>
              <w:bottom w:val="single" w:sz="4" w:space="0" w:color="auto"/>
              <w:right w:val="single" w:sz="4" w:space="0" w:color="auto"/>
            </w:tcBorders>
          </w:tcPr>
          <w:p w14:paraId="08F1BF88" w14:textId="77777777" w:rsidR="00157ABC" w:rsidRDefault="00157ABC"/>
        </w:tc>
        <w:tc>
          <w:tcPr>
            <w:tcW w:w="509" w:type="dxa"/>
            <w:tcBorders>
              <w:top w:val="single" w:sz="4" w:space="0" w:color="auto"/>
              <w:left w:val="single" w:sz="4" w:space="0" w:color="auto"/>
              <w:bottom w:val="single" w:sz="4" w:space="0" w:color="auto"/>
              <w:right w:val="single" w:sz="4" w:space="0" w:color="auto"/>
            </w:tcBorders>
          </w:tcPr>
          <w:p w14:paraId="3D4D84B2" w14:textId="77777777" w:rsidR="00157ABC" w:rsidRDefault="00157ABC"/>
        </w:tc>
        <w:tc>
          <w:tcPr>
            <w:tcW w:w="446" w:type="dxa"/>
            <w:tcBorders>
              <w:top w:val="single" w:sz="4" w:space="0" w:color="auto"/>
              <w:left w:val="single" w:sz="4" w:space="0" w:color="auto"/>
              <w:bottom w:val="single" w:sz="4" w:space="0" w:color="auto"/>
              <w:right w:val="single" w:sz="4" w:space="0" w:color="auto"/>
            </w:tcBorders>
          </w:tcPr>
          <w:p w14:paraId="61E874A8" w14:textId="77777777" w:rsidR="00157ABC" w:rsidRDefault="00157ABC"/>
        </w:tc>
        <w:tc>
          <w:tcPr>
            <w:tcW w:w="597" w:type="dxa"/>
            <w:tcBorders>
              <w:top w:val="single" w:sz="4" w:space="0" w:color="auto"/>
              <w:left w:val="single" w:sz="4" w:space="0" w:color="auto"/>
              <w:bottom w:val="single" w:sz="4" w:space="0" w:color="auto"/>
              <w:right w:val="single" w:sz="4" w:space="0" w:color="auto"/>
            </w:tcBorders>
          </w:tcPr>
          <w:p w14:paraId="2DD042A0" w14:textId="77777777" w:rsidR="00157ABC" w:rsidRDefault="00157ABC"/>
        </w:tc>
      </w:tr>
      <w:tr w:rsidR="00157ABC" w14:paraId="3338DE45" w14:textId="77777777" w:rsidTr="00157ABC">
        <w:trPr>
          <w:trHeight w:val="898"/>
        </w:trPr>
        <w:tc>
          <w:tcPr>
            <w:tcW w:w="12430" w:type="dxa"/>
            <w:tcBorders>
              <w:top w:val="single" w:sz="4" w:space="0" w:color="auto"/>
              <w:left w:val="single" w:sz="4" w:space="0" w:color="auto"/>
              <w:bottom w:val="single" w:sz="4" w:space="0" w:color="auto"/>
              <w:right w:val="single" w:sz="4" w:space="0" w:color="auto"/>
            </w:tcBorders>
            <w:hideMark/>
          </w:tcPr>
          <w:p w14:paraId="627EF84D" w14:textId="77777777" w:rsidR="00157ABC" w:rsidRDefault="00157ABC">
            <w:r>
              <w:t>Nous sommes capables de montrer que suivant l’âge et/ou le genre le salaire est différent</w:t>
            </w:r>
          </w:p>
          <w:p w14:paraId="3C089A3C" w14:textId="77777777" w:rsidR="00157ABC" w:rsidRDefault="00157ABC" w:rsidP="00157ABC">
            <w:pPr>
              <w:pStyle w:val="Paragraphedeliste"/>
              <w:numPr>
                <w:ilvl w:val="0"/>
                <w:numId w:val="5"/>
              </w:numPr>
            </w:pPr>
            <w:r>
              <w:t>Nous avons repéré les causes des inégalités</w:t>
            </w:r>
          </w:p>
          <w:p w14:paraId="3111B7BB" w14:textId="77777777" w:rsidR="00157ABC" w:rsidRDefault="00157ABC" w:rsidP="00157ABC">
            <w:pPr>
              <w:pStyle w:val="Paragraphedeliste"/>
              <w:numPr>
                <w:ilvl w:val="0"/>
                <w:numId w:val="5"/>
              </w:numPr>
            </w:pPr>
            <w:r>
              <w:t>Nous avons repéré les conséquences de ces inégalités sur les salaires</w:t>
            </w:r>
          </w:p>
        </w:tc>
        <w:tc>
          <w:tcPr>
            <w:tcW w:w="583" w:type="dxa"/>
            <w:tcBorders>
              <w:top w:val="single" w:sz="4" w:space="0" w:color="auto"/>
              <w:left w:val="single" w:sz="4" w:space="0" w:color="auto"/>
              <w:bottom w:val="single" w:sz="4" w:space="0" w:color="auto"/>
              <w:right w:val="single" w:sz="4" w:space="0" w:color="auto"/>
            </w:tcBorders>
          </w:tcPr>
          <w:p w14:paraId="0FC242CD" w14:textId="77777777" w:rsidR="00157ABC" w:rsidRDefault="00157ABC">
            <w:pPr>
              <w:pStyle w:val="Paragraphedeliste"/>
            </w:pPr>
          </w:p>
        </w:tc>
        <w:tc>
          <w:tcPr>
            <w:tcW w:w="509" w:type="dxa"/>
            <w:tcBorders>
              <w:top w:val="single" w:sz="4" w:space="0" w:color="auto"/>
              <w:left w:val="single" w:sz="4" w:space="0" w:color="auto"/>
              <w:bottom w:val="single" w:sz="4" w:space="0" w:color="auto"/>
              <w:right w:val="single" w:sz="4" w:space="0" w:color="auto"/>
            </w:tcBorders>
          </w:tcPr>
          <w:p w14:paraId="2A8958FD" w14:textId="77777777" w:rsidR="00157ABC" w:rsidRDefault="00157ABC"/>
        </w:tc>
        <w:tc>
          <w:tcPr>
            <w:tcW w:w="446" w:type="dxa"/>
            <w:tcBorders>
              <w:top w:val="single" w:sz="4" w:space="0" w:color="auto"/>
              <w:left w:val="single" w:sz="4" w:space="0" w:color="auto"/>
              <w:bottom w:val="single" w:sz="4" w:space="0" w:color="auto"/>
              <w:right w:val="single" w:sz="4" w:space="0" w:color="auto"/>
            </w:tcBorders>
          </w:tcPr>
          <w:p w14:paraId="7227A352" w14:textId="77777777" w:rsidR="00157ABC" w:rsidRDefault="00157ABC"/>
        </w:tc>
        <w:tc>
          <w:tcPr>
            <w:tcW w:w="597" w:type="dxa"/>
            <w:tcBorders>
              <w:top w:val="single" w:sz="4" w:space="0" w:color="auto"/>
              <w:left w:val="single" w:sz="4" w:space="0" w:color="auto"/>
              <w:bottom w:val="single" w:sz="4" w:space="0" w:color="auto"/>
              <w:right w:val="single" w:sz="4" w:space="0" w:color="auto"/>
            </w:tcBorders>
          </w:tcPr>
          <w:p w14:paraId="75B17094" w14:textId="77777777" w:rsidR="00157ABC" w:rsidRDefault="00157ABC"/>
        </w:tc>
      </w:tr>
      <w:tr w:rsidR="00157ABC" w14:paraId="6E194B65" w14:textId="77777777" w:rsidTr="00157ABC">
        <w:trPr>
          <w:trHeight w:val="875"/>
        </w:trPr>
        <w:tc>
          <w:tcPr>
            <w:tcW w:w="12430" w:type="dxa"/>
            <w:tcBorders>
              <w:top w:val="single" w:sz="4" w:space="0" w:color="auto"/>
              <w:left w:val="single" w:sz="4" w:space="0" w:color="auto"/>
              <w:bottom w:val="single" w:sz="4" w:space="0" w:color="auto"/>
              <w:right w:val="single" w:sz="4" w:space="0" w:color="auto"/>
            </w:tcBorders>
            <w:hideMark/>
          </w:tcPr>
          <w:p w14:paraId="27B3C453" w14:textId="77777777" w:rsidR="00157ABC" w:rsidRDefault="00157ABC">
            <w:r>
              <w:t>Nous avons réparti le travail au sein du groupe de façon équitable</w:t>
            </w:r>
          </w:p>
          <w:p w14:paraId="367F7407" w14:textId="77777777" w:rsidR="00157ABC" w:rsidRDefault="00157ABC" w:rsidP="00157ABC">
            <w:pPr>
              <w:pStyle w:val="Paragraphedeliste"/>
              <w:numPr>
                <w:ilvl w:val="0"/>
                <w:numId w:val="5"/>
              </w:numPr>
            </w:pPr>
            <w:r>
              <w:t>Chacun a tenu un rôle au sein du groupe</w:t>
            </w:r>
          </w:p>
          <w:p w14:paraId="5292FC25" w14:textId="77777777" w:rsidR="00157ABC" w:rsidRDefault="00157ABC" w:rsidP="00157ABC">
            <w:pPr>
              <w:pStyle w:val="Paragraphedeliste"/>
              <w:numPr>
                <w:ilvl w:val="0"/>
                <w:numId w:val="5"/>
              </w:numPr>
            </w:pPr>
            <w:r>
              <w:t>Chacun a participé à la production finale</w:t>
            </w:r>
          </w:p>
        </w:tc>
        <w:tc>
          <w:tcPr>
            <w:tcW w:w="583" w:type="dxa"/>
            <w:tcBorders>
              <w:top w:val="single" w:sz="4" w:space="0" w:color="auto"/>
              <w:left w:val="single" w:sz="4" w:space="0" w:color="auto"/>
              <w:bottom w:val="single" w:sz="4" w:space="0" w:color="auto"/>
              <w:right w:val="single" w:sz="4" w:space="0" w:color="auto"/>
            </w:tcBorders>
          </w:tcPr>
          <w:p w14:paraId="6BDFFBD8" w14:textId="77777777" w:rsidR="00157ABC" w:rsidRDefault="00157ABC"/>
        </w:tc>
        <w:tc>
          <w:tcPr>
            <w:tcW w:w="509" w:type="dxa"/>
            <w:tcBorders>
              <w:top w:val="single" w:sz="4" w:space="0" w:color="auto"/>
              <w:left w:val="single" w:sz="4" w:space="0" w:color="auto"/>
              <w:bottom w:val="single" w:sz="4" w:space="0" w:color="auto"/>
              <w:right w:val="single" w:sz="4" w:space="0" w:color="auto"/>
            </w:tcBorders>
          </w:tcPr>
          <w:p w14:paraId="0ACD7699" w14:textId="77777777" w:rsidR="00157ABC" w:rsidRDefault="00157ABC"/>
        </w:tc>
        <w:tc>
          <w:tcPr>
            <w:tcW w:w="446" w:type="dxa"/>
            <w:tcBorders>
              <w:top w:val="single" w:sz="4" w:space="0" w:color="auto"/>
              <w:left w:val="single" w:sz="4" w:space="0" w:color="auto"/>
              <w:bottom w:val="single" w:sz="4" w:space="0" w:color="auto"/>
              <w:right w:val="single" w:sz="4" w:space="0" w:color="auto"/>
            </w:tcBorders>
          </w:tcPr>
          <w:p w14:paraId="074B7911" w14:textId="77777777" w:rsidR="00157ABC" w:rsidRDefault="00157ABC"/>
        </w:tc>
        <w:tc>
          <w:tcPr>
            <w:tcW w:w="597" w:type="dxa"/>
            <w:tcBorders>
              <w:top w:val="single" w:sz="4" w:space="0" w:color="auto"/>
              <w:left w:val="single" w:sz="4" w:space="0" w:color="auto"/>
              <w:bottom w:val="single" w:sz="4" w:space="0" w:color="auto"/>
              <w:right w:val="single" w:sz="4" w:space="0" w:color="auto"/>
            </w:tcBorders>
          </w:tcPr>
          <w:p w14:paraId="75703E77" w14:textId="77777777" w:rsidR="00157ABC" w:rsidRDefault="00157ABC"/>
        </w:tc>
      </w:tr>
    </w:tbl>
    <w:p w14:paraId="770B3EBC" w14:textId="46BD5CCE" w:rsidR="00AF7A9A" w:rsidRDefault="00AF7A9A" w:rsidP="00AF7A9A"/>
    <w:p w14:paraId="0572998D" w14:textId="77777777" w:rsidR="00AF7A9A" w:rsidRPr="00AF7A9A" w:rsidRDefault="00AF7A9A" w:rsidP="00AF7A9A"/>
    <w:sectPr w:rsidR="00AF7A9A" w:rsidRPr="00AF7A9A" w:rsidSect="00157AB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913BA"/>
    <w:multiLevelType w:val="hybridMultilevel"/>
    <w:tmpl w:val="CF3CA51A"/>
    <w:lvl w:ilvl="0" w:tplc="AEAA62C0">
      <w:start w:val="4"/>
      <w:numFmt w:val="bullet"/>
      <w:lvlText w:val="-"/>
      <w:lvlJc w:val="left"/>
      <w:pPr>
        <w:ind w:left="1070" w:hanging="360"/>
      </w:pPr>
      <w:rPr>
        <w:rFonts w:ascii="Calibri" w:eastAsiaTheme="minorHAnsi" w:hAnsi="Calibri" w:cs="Calibri" w:hint="default"/>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1" w15:restartNumberingAfterBreak="0">
    <w:nsid w:val="15725D4B"/>
    <w:multiLevelType w:val="hybridMultilevel"/>
    <w:tmpl w:val="71B6CE52"/>
    <w:lvl w:ilvl="0" w:tplc="C186B4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6D0F5F"/>
    <w:multiLevelType w:val="hybridMultilevel"/>
    <w:tmpl w:val="FD1E298E"/>
    <w:lvl w:ilvl="0" w:tplc="3E22F8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8C743E"/>
    <w:multiLevelType w:val="hybridMultilevel"/>
    <w:tmpl w:val="DBEEE574"/>
    <w:lvl w:ilvl="0" w:tplc="2DE4F26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753C4EDB"/>
    <w:multiLevelType w:val="hybridMultilevel"/>
    <w:tmpl w:val="437652F2"/>
    <w:lvl w:ilvl="0" w:tplc="5298E5E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A9A"/>
    <w:rsid w:val="0006467D"/>
    <w:rsid w:val="00157ABC"/>
    <w:rsid w:val="00286467"/>
    <w:rsid w:val="002C27FA"/>
    <w:rsid w:val="003B3492"/>
    <w:rsid w:val="004C4724"/>
    <w:rsid w:val="005C5489"/>
    <w:rsid w:val="005F531D"/>
    <w:rsid w:val="00720656"/>
    <w:rsid w:val="007B57D2"/>
    <w:rsid w:val="009061CF"/>
    <w:rsid w:val="00AF7A9A"/>
    <w:rsid w:val="00B566D6"/>
    <w:rsid w:val="00C45744"/>
    <w:rsid w:val="00E423CB"/>
    <w:rsid w:val="00E83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C1DDD"/>
  <w15:chartTrackingRefBased/>
  <w15:docId w15:val="{C6D91761-9D64-4F68-BE35-82995F76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B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AF7A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F7A9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F7A9A"/>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F7A9A"/>
    <w:rPr>
      <w:rFonts w:eastAsiaTheme="minorEastAsia"/>
      <w:color w:val="5A5A5A" w:themeColor="text1" w:themeTint="A5"/>
      <w:spacing w:val="15"/>
    </w:rPr>
  </w:style>
  <w:style w:type="paragraph" w:styleId="Paragraphedeliste">
    <w:name w:val="List Paragraph"/>
    <w:basedOn w:val="Normal"/>
    <w:uiPriority w:val="34"/>
    <w:qFormat/>
    <w:rsid w:val="00AF7A9A"/>
    <w:pPr>
      <w:spacing w:after="0" w:line="240" w:lineRule="auto"/>
      <w:jc w:val="both"/>
    </w:pPr>
    <w:rPr>
      <w:rFonts w:ascii="Corbel" w:hAnsi="Corbel"/>
    </w:rPr>
  </w:style>
  <w:style w:type="table" w:styleId="Grilledutableau">
    <w:name w:val="Table Grid"/>
    <w:basedOn w:val="TableauNormal"/>
    <w:uiPriority w:val="39"/>
    <w:rsid w:val="00157A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06467D"/>
    <w:pPr>
      <w:spacing w:after="200" w:line="240" w:lineRule="auto"/>
    </w:pPr>
    <w:rPr>
      <w:i/>
      <w:iCs/>
      <w:color w:val="44546A" w:themeColor="text2"/>
      <w:sz w:val="18"/>
      <w:szCs w:val="18"/>
    </w:rPr>
  </w:style>
  <w:style w:type="character" w:styleId="Lienhypertexte">
    <w:name w:val="Hyperlink"/>
    <w:basedOn w:val="Policepardfaut"/>
    <w:uiPriority w:val="99"/>
    <w:unhideWhenUsed/>
    <w:rsid w:val="000646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011121">
      <w:bodyDiv w:val="1"/>
      <w:marLeft w:val="0"/>
      <w:marRight w:val="0"/>
      <w:marTop w:val="0"/>
      <w:marBottom w:val="0"/>
      <w:divBdr>
        <w:top w:val="none" w:sz="0" w:space="0" w:color="auto"/>
        <w:left w:val="none" w:sz="0" w:space="0" w:color="auto"/>
        <w:bottom w:val="none" w:sz="0" w:space="0" w:color="auto"/>
        <w:right w:val="none" w:sz="0" w:space="0" w:color="auto"/>
      </w:divBdr>
    </w:div>
    <w:div w:id="217520209">
      <w:bodyDiv w:val="1"/>
      <w:marLeft w:val="0"/>
      <w:marRight w:val="0"/>
      <w:marTop w:val="0"/>
      <w:marBottom w:val="0"/>
      <w:divBdr>
        <w:top w:val="none" w:sz="0" w:space="0" w:color="auto"/>
        <w:left w:val="none" w:sz="0" w:space="0" w:color="auto"/>
        <w:bottom w:val="none" w:sz="0" w:space="0" w:color="auto"/>
        <w:right w:val="none" w:sz="0" w:space="0" w:color="auto"/>
      </w:divBdr>
    </w:div>
    <w:div w:id="637801684">
      <w:bodyDiv w:val="1"/>
      <w:marLeft w:val="0"/>
      <w:marRight w:val="0"/>
      <w:marTop w:val="0"/>
      <w:marBottom w:val="0"/>
      <w:divBdr>
        <w:top w:val="none" w:sz="0" w:space="0" w:color="auto"/>
        <w:left w:val="none" w:sz="0" w:space="0" w:color="auto"/>
        <w:bottom w:val="none" w:sz="0" w:space="0" w:color="auto"/>
        <w:right w:val="none" w:sz="0" w:space="0" w:color="auto"/>
      </w:divBdr>
    </w:div>
    <w:div w:id="1310935758">
      <w:bodyDiv w:val="1"/>
      <w:marLeft w:val="0"/>
      <w:marRight w:val="0"/>
      <w:marTop w:val="0"/>
      <w:marBottom w:val="0"/>
      <w:divBdr>
        <w:top w:val="none" w:sz="0" w:space="0" w:color="auto"/>
        <w:left w:val="none" w:sz="0" w:space="0" w:color="auto"/>
        <w:bottom w:val="none" w:sz="0" w:space="0" w:color="auto"/>
        <w:right w:val="none" w:sz="0" w:space="0" w:color="auto"/>
      </w:divBdr>
    </w:div>
    <w:div w:id="1621034396">
      <w:bodyDiv w:val="1"/>
      <w:marLeft w:val="0"/>
      <w:marRight w:val="0"/>
      <w:marTop w:val="0"/>
      <w:marBottom w:val="0"/>
      <w:divBdr>
        <w:top w:val="none" w:sz="0" w:space="0" w:color="auto"/>
        <w:left w:val="none" w:sz="0" w:space="0" w:color="auto"/>
        <w:bottom w:val="none" w:sz="0" w:space="0" w:color="auto"/>
        <w:right w:val="none" w:sz="0" w:space="0" w:color="auto"/>
      </w:divBdr>
    </w:div>
    <w:div w:id="207836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monde.fr/idees/article/2018/06/08/l-inegalite-de-salaire-hommes-femmes-c-est-de-naissance_5311573_3232.html" TargetMode="External"/><Relationship Id="rId3" Type="http://schemas.openxmlformats.org/officeDocument/2006/relationships/styles" Target="styles.xml"/><Relationship Id="rId7" Type="http://schemas.openxmlformats.org/officeDocument/2006/relationships/hyperlink" Target="https://www.lemonde.fr/economie/article/2018/11/02/apres-le-3-novembre-les-europeennes-travailleront-pour-rien_5377910_3234.htm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ejdd.fr/Economie/egalite-salariale-femmes-hommes-ce-qui-doit-changer-3551468"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A1DED-F330-4E63-A5F8-F8A1A569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5839</Characters>
  <Application>Microsoft Office Word</Application>
  <DocSecurity>4</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Dufour</dc:creator>
  <cp:keywords/>
  <dc:description/>
  <cp:lastModifiedBy>David H</cp:lastModifiedBy>
  <cp:revision>2</cp:revision>
  <dcterms:created xsi:type="dcterms:W3CDTF">2020-09-07T16:07:00Z</dcterms:created>
  <dcterms:modified xsi:type="dcterms:W3CDTF">2020-09-07T16:07:00Z</dcterms:modified>
</cp:coreProperties>
</file>