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  <w:bookmarkStart w:id="0" w:name="_GoBack"/>
      <w:bookmarkStart w:id="1" w:name="_GoBack"/>
      <w:bookmarkEnd w:id="1"/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Le Cahier des Charges indique les performances à atteindre pour satisfaire les fonctions liées au besoin.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Il précise pour chaque fonction :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- les critères qui indiquent différentes caractéristiques.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- les niveaux qui sont les performances (mesurables, quantifiables) à atteindre pour chaque critère.</w:t>
      </w:r>
    </w:p>
    <w:p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Exemple d’extrait d’un Cahier des charges d’un ascenseur domestique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2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472"/>
        <w:gridCol w:w="3544"/>
        <w:gridCol w:w="2976"/>
        <w:gridCol w:w="2213"/>
      </w:tblGrid>
      <w:tr>
        <w:trPr/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Repères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Fonctions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Critères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Niveaux</w:t>
            </w:r>
          </w:p>
        </w:tc>
      </w:tr>
      <w:tr>
        <w:trPr>
          <w:trHeight w:val="808" w:hRule="atLeast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Fonction Principale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Permettre à une personne à mobilité réduite de changer d’étage dans une habitation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Niveaux desservis</w:t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Charge 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Maximum 225 KG</w:t>
            </w:r>
          </w:p>
        </w:tc>
      </w:tr>
      <w:tr>
        <w:trPr/>
        <w:tc>
          <w:tcPr>
            <w:tcW w:w="147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Fonctions Contraintes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Assurer un déplacement régulier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vitesse</w:t>
            </w:r>
          </w:p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185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m / s</w:t>
              <w:tab/>
            </w:r>
          </w:p>
        </w:tc>
      </w:tr>
      <w:tr>
        <w:trPr/>
        <w:tc>
          <w:tcPr>
            <w:tcW w:w="147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Accueillir une personne en fauteuil roulant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Surface de la cabine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Minimum l : 102 cm  L : 162 cm</w:t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7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Permettre à la personne de pénétrer aisément dans la cabine avec son fauteuil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Largeur de l’ouverture des portes </w:t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Ouverture/Fermeture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Minimum 90 cm</w:t>
            </w:r>
          </w:p>
          <w:p>
            <w:pPr>
              <w:pStyle w:val="Contenudetableau"/>
              <w:keepNext w:val="true"/>
              <w:spacing w:before="24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keepNext w:val="true"/>
              <w:spacing w:before="24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Automatique</w:t>
            </w:r>
          </w:p>
        </w:tc>
      </w:tr>
      <w:tr>
        <w:trPr/>
        <w:tc>
          <w:tcPr>
            <w:tcW w:w="147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Rendre accessible les commandes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hauteur des commandes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Entre 75 cm et 80 cm</w:t>
            </w:r>
          </w:p>
        </w:tc>
      </w:tr>
      <w:tr>
        <w:trPr/>
        <w:tc>
          <w:tcPr>
            <w:tcW w:w="147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Participer au développement durable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Valorisation des matériaux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Recyclables à 100%</w:t>
            </w:r>
          </w:p>
        </w:tc>
      </w:tr>
      <w:tr>
        <w:trPr/>
        <w:tc>
          <w:tcPr>
            <w:tcW w:w="147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Sécuriser l’accès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 la personne à mobilité réduite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Avec une clé</w:t>
            </w:r>
          </w:p>
        </w:tc>
      </w:tr>
    </w:tbl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20" w:top="777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ascii="Arial" w:hAnsi="Arial"/>
        <w:b/>
        <w:bCs/>
        <w:color w:val="999999"/>
        <w:sz w:val="14"/>
        <w:szCs w:val="14"/>
      </w:rPr>
      <w:t>DIC_1.2.1_Niv2</w:t>
      <w:tab/>
      <w:t>Design, Innovation et Créativité</w:t>
    </w:r>
    <w:r>
      <w:rPr>
        <w:rFonts w:ascii="Arial" w:hAnsi="Arial"/>
        <w:color w:val="999999"/>
        <w:sz w:val="14"/>
        <w:szCs w:val="14"/>
      </w:rPr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PAGE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NUMPAGES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Arial" w:hAnsi="Arial"/>
        <w:b/>
        <w:b/>
        <w:bCs/>
        <w:sz w:val="28"/>
        <w:szCs w:val="28"/>
      </w:rPr>
    </w:pPr>
    <w:r>
      <w:drawing>
        <wp:anchor behindDoc="1" distT="0" distB="1270" distL="114300" distR="120650" simplePos="0" locked="0" layoutInCell="1" allowOverlap="1" relativeHeight="2">
          <wp:simplePos x="0" y="0"/>
          <wp:positionH relativeFrom="column">
            <wp:posOffset>2670810</wp:posOffset>
          </wp:positionH>
          <wp:positionV relativeFrom="paragraph">
            <wp:posOffset>-323850</wp:posOffset>
          </wp:positionV>
          <wp:extent cx="1136015" cy="60833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C</w:t>
    </w:r>
    <w:r>
      <w:rPr>
        <w:rFonts w:ascii="Arial" w:hAnsi="Arial"/>
        <w:b/>
        <w:bCs/>
        <w:sz w:val="28"/>
        <w:szCs w:val="28"/>
      </w:rPr>
      <w:t>ycle 4 Technologie</w:t>
      <w:tab/>
      <w:tab/>
      <w:t>DIC 1.2.1</w:t>
    </w:r>
  </w:p>
  <w:p>
    <w:pPr>
      <w:pStyle w:val="Entte"/>
      <w:rPr/>
    </w:pPr>
    <w:r>
      <w:rPr>
        <w:rFonts w:ascii="Arial" w:hAnsi="Arial"/>
        <w:b/>
        <w:bCs/>
        <w:sz w:val="28"/>
        <w:szCs w:val="28"/>
      </w:rPr>
      <w:tab/>
      <w:tab/>
    </w:r>
    <w:r>
      <w:rPr>
        <w:rFonts w:ascii="Arial" w:hAnsi="Arial"/>
        <w:b/>
        <w:bCs/>
        <w:color w:val="666666"/>
        <w:sz w:val="28"/>
        <w:szCs w:val="28"/>
      </w:rPr>
      <w:t>Niveau 2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28"/>
        <w:szCs w:val="28"/>
      </w:rPr>
    </w:pPr>
    <w:r>
      <w:rPr>
        <w:rFonts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color w:val="666666"/>
      </w:rPr>
    </w:pPr>
    <w:r>
      <w:rPr>
        <w:rFonts w:ascii="Arial" w:hAnsi="Arial"/>
        <w:b/>
        <w:bCs/>
        <w:color w:val="666666"/>
      </w:rPr>
      <w:t>D</w:t>
    </w:r>
    <w:r>
      <w:rPr>
        <w:rFonts w:ascii="Arial" w:hAnsi="Arial"/>
        <w:color w:val="666666"/>
      </w:rPr>
      <w:t xml:space="preserve">esign, </w:t>
    </w:r>
    <w:r>
      <w:rPr>
        <w:rFonts w:ascii="Arial" w:hAnsi="Arial"/>
        <w:b/>
        <w:bCs/>
        <w:color w:val="666666"/>
      </w:rPr>
      <w:t>I</w:t>
    </w:r>
    <w:r>
      <w:rPr>
        <w:rFonts w:ascii="Arial" w:hAnsi="Arial"/>
        <w:color w:val="666666"/>
      </w:rPr>
      <w:t xml:space="preserve">nnovation et </w:t>
    </w:r>
    <w:r>
      <w:rPr>
        <w:rFonts w:ascii="Arial" w:hAnsi="Arial"/>
        <w:b/>
        <w:bCs/>
        <w:color w:val="666666"/>
      </w:rPr>
      <w:t>C</w:t>
    </w:r>
    <w:r>
      <w:rPr>
        <w:rFonts w:ascii="Arial" w:hAnsi="Arial"/>
        <w:color w:val="666666"/>
      </w:rPr>
      <w:t>réativité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color w:val="666666"/>
        <w:sz w:val="14"/>
        <w:szCs w:val="14"/>
      </w:rPr>
    </w:pPr>
    <w:r>
      <w:rPr>
        <w:rFonts w:ascii="Arial" w:hAnsi="Arial"/>
        <w:i/>
        <w:i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iCs/>
        <w:color w:val="666666"/>
        <w:u w:val="single"/>
      </w:rPr>
      <w:t>Compétence</w:t>
    </w:r>
    <w:r>
      <w:rPr>
        <w:rFonts w:ascii="Arial" w:hAnsi="Arial"/>
        <w:i/>
        <w:iCs/>
        <w:color w:val="666666"/>
      </w:rPr>
      <w:t> :</w:t>
    </w:r>
    <w:r>
      <w:rPr>
        <w:rFonts w:ascii="Arial" w:hAnsi="Arial"/>
        <w:i/>
        <w:iCs/>
        <w:color w:val="666666"/>
        <w:sz w:val="28"/>
        <w:szCs w:val="28"/>
      </w:rPr>
      <w:t xml:space="preserve"> </w:t>
    </w:r>
    <w:r>
      <w:rPr>
        <w:rFonts w:ascii="Arial" w:hAnsi="Arial"/>
        <w:color w:val="666666"/>
        <w:sz w:val="28"/>
        <w:szCs w:val="28"/>
      </w:rPr>
      <w:t>Identifier les conditions, contraintes (normes et règlements) et ressources correspondantes, qualifier et quantifier simplement les performances d’un objet technique existant ou à créer.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color w:val="666666"/>
        <w:u w:val="single"/>
      </w:rPr>
      <w:t>Connaissance(s) associée(s) </w:t>
    </w:r>
    <w:r>
      <w:rPr>
        <w:rFonts w:ascii="Arial" w:hAnsi="Arial"/>
        <w:i/>
        <w:color w:val="666666"/>
        <w:sz w:val="28"/>
        <w:szCs w:val="28"/>
        <w:u w:val="single"/>
      </w:rPr>
      <w:t xml:space="preserve">: </w:t>
    </w:r>
    <w:r>
      <w:rPr>
        <w:rFonts w:cs="Arial" w:ascii="Arial" w:hAnsi="Arial"/>
        <w:color w:val="666666"/>
      </w:rPr>
      <w:t>Principaux éléments d’un cahier des charges.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0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Titre2">
    <w:name w:val="Heading 2"/>
    <w:basedOn w:val="Titre"/>
    <w:qFormat/>
    <w:pPr>
      <w:numPr>
        <w:ilvl w:val="0"/>
        <w:numId w:val="0"/>
      </w:numPr>
      <w:spacing w:before="200" w:after="120"/>
      <w:outlineLvl w:val="1"/>
    </w:pPr>
    <w:rPr>
      <w:b/>
      <w:bCs/>
    </w:rPr>
  </w:style>
  <w:style w:type="paragraph" w:styleId="Titre3">
    <w:name w:val="Heading 3"/>
    <w:basedOn w:val="Titre"/>
    <w:qFormat/>
    <w:pPr>
      <w:numPr>
        <w:ilvl w:val="0"/>
        <w:numId w:val="0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TextedebullesCar">
    <w:name w:val="Texte de bulles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EntteCar">
    <w:name w:val="En-tête Car"/>
    <w:basedOn w:val="DefaultParagraphFont"/>
    <w:qFormat/>
    <w:rPr/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tte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Standard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220</Words>
  <Characters>1302</Characters>
  <CharactersWithSpaces>1487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2018-12-12T18:00:00Z</dcterms:created>
  <dc:creator>monsieur bodin</dc:creator>
  <dc:description/>
  <dc:language>fr-FR</dc:language>
  <cp:lastModifiedBy/>
  <cp:lastPrinted>2018-06-26T15:23:00Z</cp:lastPrinted>
  <dcterms:modified xsi:type="dcterms:W3CDTF">2018-12-12T20:48:14Z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