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jc w:val="center"/>
      </w:pPr>
      <w:r>
        <w:rPr>
          <w:rFonts w:ascii="Calibri" w:cs="Calibri" w:hAnsi="Calibri"/>
          <w:b/>
          <w:sz w:val="32"/>
          <w:szCs w:val="32"/>
        </w:rPr>
        <w:t>Enseignement général</w:t>
      </w:r>
      <w:r>
        <w:rPr>
          <w:rFonts w:ascii="Calibri" w:cs="Calibri" w:hAnsi="Calibri"/>
          <w:b/>
          <w:sz w:val="32"/>
          <w:szCs w:val="32"/>
        </w:rPr>
        <w:t xml:space="preserve"> lié à la spécialité – Bac Pro Esthétique</w:t>
      </w:r>
    </w:p>
    <w:p>
      <w:pPr>
        <w:pStyle w:val="style0"/>
        <w:jc w:val="center"/>
      </w:pPr>
      <w:r>
        <w:rPr>
          <w:rFonts w:ascii="Calibri" w:cs="Calibri" w:hAnsi="Calibri"/>
          <w:sz w:val="32"/>
          <w:szCs w:val="32"/>
        </w:rPr>
      </w:r>
    </w:p>
    <w:p>
      <w:pPr>
        <w:pStyle w:val="style0"/>
      </w:pPr>
      <w:r>
        <w:rPr>
          <w:rFonts w:ascii="Calibri" w:cs="Calibri" w:hAnsi="Calibri"/>
          <w:b/>
          <w:i/>
          <w:color w:val="FF0000"/>
          <w:sz w:val="20"/>
          <w:szCs w:val="20"/>
        </w:rPr>
        <w:t>Répartition établie en mai 2009 lors de la journée de travail sur le bac pro 3 ans en présence de Mme Bouillaud, inspectrice</w:t>
      </w:r>
    </w:p>
    <w:p>
      <w:pPr>
        <w:pStyle w:val="style0"/>
      </w:pPr>
      <w:r>
        <w:rPr>
          <w:rFonts w:ascii="Calibri" w:cs="Calibri" w:hAnsi="Calibri"/>
          <w:b/>
          <w:i/>
          <w:color w:val="FF0000"/>
          <w:sz w:val="20"/>
          <w:szCs w:val="20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367"/>
        <w:gridCol w:w="3960"/>
        <w:gridCol w:w="5041"/>
      </w:tblGrid>
      <w:tr>
        <w:trPr>
          <w:cantSplit w:val="false"/>
        </w:trPr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Calibri" w:cs="Calibri" w:hAnsi="Calibri"/>
                <w:b/>
                <w:sz w:val="28"/>
                <w:szCs w:val="28"/>
              </w:rPr>
            </w:r>
          </w:p>
        </w:tc>
        <w:tc>
          <w:tcPr>
            <w:tcW w:type="dxa" w:w="39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Calibri" w:cs="Calibri" w:hAnsi="Calibri"/>
              </w:rPr>
              <w:t>Maths</w:t>
            </w:r>
          </w:p>
        </w:tc>
        <w:tc>
          <w:tcPr>
            <w:tcW w:type="dxa" w:w="50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Calibri" w:cs="Calibri" w:hAnsi="Calibri"/>
              </w:rPr>
              <w:t>Sciences</w:t>
            </w:r>
          </w:p>
        </w:tc>
      </w:tr>
      <w:tr>
        <w:trPr>
          <w:trHeight w:hRule="atLeast" w:val="4170"/>
          <w:cantSplit w:val="false"/>
        </w:trPr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Calibri" w:cs="Calibri" w:hAnsi="Calibri"/>
                <w:b/>
                <w:sz w:val="28"/>
                <w:szCs w:val="28"/>
              </w:rPr>
              <w:t>2</w:t>
            </w:r>
            <w:r>
              <w:rPr>
                <w:rFonts w:ascii="Calibri" w:cs="Calibri" w:hAnsi="Calibri"/>
                <w:b/>
                <w:sz w:val="28"/>
                <w:szCs w:val="28"/>
                <w:vertAlign w:val="superscript"/>
              </w:rPr>
              <w:t>nde</w:t>
            </w:r>
          </w:p>
        </w:tc>
        <w:tc>
          <w:tcPr>
            <w:tcW w:type="dxa" w:w="39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0" w:name="_GoBack"/>
            <w:bookmarkEnd w:id="0"/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type="dxa" w:w="50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Les solutions</w:t>
            </w:r>
          </w:p>
          <w:p>
            <w:pPr>
              <w:pStyle w:val="style0"/>
              <w:ind w:hanging="0" w:left="360" w:right="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Les dispersions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Les tensioactifs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1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Base de chimie organique :</w:t>
            </w:r>
          </w:p>
          <w:p>
            <w:pPr>
              <w:pStyle w:val="style0"/>
            </w:pPr>
            <w:r>
              <w:rPr>
                <w:rFonts w:ascii="Calibri" w:cs="Calibri" w:hAnsi="Calibri"/>
                <w:sz w:val="22"/>
                <w:szCs w:val="22"/>
              </w:rPr>
              <w:t xml:space="preserve">                 </w:t>
            </w:r>
            <w:r>
              <w:rPr>
                <w:rFonts w:ascii="Calibri" w:cs="Calibri" w:hAnsi="Calibri"/>
                <w:sz w:val="22"/>
                <w:szCs w:val="22"/>
              </w:rPr>
              <w:t>les hydrocarbures</w:t>
            </w:r>
          </w:p>
          <w:p>
            <w:pPr>
              <w:pStyle w:val="style0"/>
            </w:pPr>
            <w:r>
              <w:rPr>
                <w:rFonts w:ascii="Calibri" w:cs="Calibri" w:hAnsi="Calibri"/>
                <w:sz w:val="22"/>
                <w:szCs w:val="22"/>
              </w:rPr>
              <w:t xml:space="preserve">                 </w:t>
            </w:r>
            <w:r>
              <w:rPr>
                <w:rFonts w:ascii="Calibri" w:cs="Calibri" w:hAnsi="Calibri"/>
                <w:sz w:val="22"/>
                <w:szCs w:val="22"/>
              </w:rPr>
              <w:t>les alcools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leader="none" w:pos="324" w:val="left"/>
              </w:tabs>
              <w:ind w:hanging="360" w:left="72" w:right="0"/>
            </w:pPr>
            <w:r>
              <w:rPr>
                <w:rFonts w:ascii="Calibri" w:cs="Calibri" w:hAnsi="Calibri"/>
                <w:sz w:val="22"/>
                <w:szCs w:val="22"/>
              </w:rPr>
              <w:t>Alimentation des appareils électriques :</w:t>
            </w:r>
          </w:p>
          <w:p>
            <w:pPr>
              <w:pStyle w:val="style0"/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circuits électriques en courant continu,</w:t>
            </w:r>
          </w:p>
          <w:p>
            <w:pPr>
              <w:pStyle w:val="style0"/>
            </w:pPr>
            <w:r>
              <w:rPr>
                <w:rFonts w:ascii="Calibri" w:cs="Calibri" w:hAnsi="Calibri"/>
                <w:sz w:val="22"/>
                <w:szCs w:val="22"/>
              </w:rPr>
              <w:t>courant alternatif, puissance et énergie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leader="none" w:pos="324" w:val="left"/>
              </w:tabs>
              <w:ind w:hanging="360" w:left="72" w:right="0"/>
            </w:pPr>
            <w:r>
              <w:rPr>
                <w:rFonts w:ascii="Calibri" w:cs="Calibri" w:hAnsi="Calibri"/>
                <w:sz w:val="22"/>
                <w:szCs w:val="22"/>
              </w:rPr>
              <w:t>Prévention des risques chimiques et électriques</w:t>
            </w:r>
          </w:p>
          <w:p>
            <w:pPr>
              <w:pStyle w:val="style0"/>
              <w:ind w:hanging="0" w:left="72" w:right="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leader="none" w:pos="324" w:val="left"/>
              </w:tabs>
              <w:ind w:hanging="360" w:left="72" w:right="0"/>
            </w:pPr>
            <w:r>
              <w:rPr>
                <w:rFonts w:ascii="Calibri" w:cs="Calibri" w:hAnsi="Calibri"/>
                <w:sz w:val="22"/>
                <w:szCs w:val="22"/>
              </w:rPr>
              <w:t>Réglementation des produits cosmétiques (4)</w:t>
            </w:r>
          </w:p>
        </w:tc>
      </w:tr>
      <w:tr>
        <w:trPr>
          <w:cantSplit w:val="false"/>
        </w:trPr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Calibri" w:cs="Calibri" w:hAnsi="Calibri"/>
                <w:b/>
                <w:sz w:val="28"/>
                <w:szCs w:val="28"/>
              </w:rPr>
              <w:t>1</w:t>
            </w:r>
            <w:r>
              <w:rPr>
                <w:rFonts w:ascii="Calibri" w:cs="Calibri" w:hAnsi="Calibri"/>
                <w:b/>
                <w:sz w:val="28"/>
                <w:szCs w:val="28"/>
                <w:vertAlign w:val="superscript"/>
              </w:rPr>
              <w:t>ère</w:t>
            </w:r>
          </w:p>
        </w:tc>
        <w:tc>
          <w:tcPr>
            <w:tcW w:type="dxa" w:w="39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360" w:right="0"/>
            </w:pPr>
            <w:r>
              <w:rPr>
                <w:rFonts w:ascii="Calibri" w:cs="Calibri" w:hAnsi="Calibri"/>
                <w:b/>
                <w:sz w:val="22"/>
                <w:szCs w:val="22"/>
              </w:rPr>
              <w:t>Gestion de l’entreprise </w:t>
            </w:r>
          </w:p>
          <w:p>
            <w:pPr>
              <w:pStyle w:val="style0"/>
              <w:numPr>
                <w:ilvl w:val="0"/>
                <w:numId w:val="5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Prix de vente d’un produit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5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Application d’un coefficient multiplicateur</w:t>
            </w:r>
          </w:p>
          <w:p>
            <w:pPr>
              <w:pStyle w:val="style0"/>
              <w:numPr>
                <w:ilvl w:val="0"/>
                <w:numId w:val="5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Calculs commerciaux et financiers</w:t>
            </w:r>
          </w:p>
          <w:p>
            <w:pPr>
              <w:pStyle w:val="style0"/>
              <w:numPr>
                <w:ilvl w:val="0"/>
                <w:numId w:val="5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Différencier marge brute et marge nette</w:t>
            </w:r>
          </w:p>
          <w:p>
            <w:pPr>
              <w:pStyle w:val="style0"/>
              <w:numPr>
                <w:ilvl w:val="0"/>
                <w:numId w:val="5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Coût de revient d’un produit</w:t>
            </w:r>
          </w:p>
          <w:p>
            <w:pPr>
              <w:pStyle w:val="style0"/>
              <w:ind w:hanging="0" w:left="360" w:right="0"/>
            </w:pPr>
            <w:r>
              <w:rPr>
                <w:rFonts w:ascii="Calibri" w:cs="Calibri" w:hAnsi="Calibri"/>
              </w:rPr>
            </w:r>
          </w:p>
        </w:tc>
        <w:tc>
          <w:tcPr>
            <w:tcW w:type="dxa" w:w="50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Différents types de courants</w:t>
            </w:r>
          </w:p>
          <w:p>
            <w:pPr>
              <w:pStyle w:val="style0"/>
              <w:ind w:hanging="0" w:left="360" w:right="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2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Les ultrasons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2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Chimie organique :</w:t>
            </w:r>
          </w:p>
          <w:p>
            <w:pPr>
              <w:pStyle w:val="style0"/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Acide carboxylique</w:t>
            </w:r>
          </w:p>
          <w:p>
            <w:pPr>
              <w:pStyle w:val="style0"/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Aldéhyde </w:t>
            </w:r>
          </w:p>
          <w:p>
            <w:pPr>
              <w:pStyle w:val="style0"/>
            </w:pP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hAnsi="Calibri"/>
                <w:sz w:val="22"/>
                <w:szCs w:val="22"/>
              </w:rPr>
              <w:t>Cétone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3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Réaction d’estérification et de saponification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3"/>
              </w:numPr>
              <w:tabs>
                <w:tab w:leader="none" w:pos="144" w:val="left"/>
              </w:tabs>
              <w:ind w:hanging="360" w:left="72" w:right="0"/>
            </w:pPr>
            <w:r>
              <w:rPr>
                <w:rFonts w:ascii="Calibri" w:cs="Calibri" w:hAnsi="Calibri"/>
                <w:sz w:val="22"/>
                <w:szCs w:val="22"/>
              </w:rPr>
              <w:t>Le rayonnement (Nature physique des rayonnements ultraviolets)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</w:tc>
      </w:tr>
      <w:tr>
        <w:trPr>
          <w:cantSplit w:val="false"/>
        </w:trPr>
        <w:tc>
          <w:tcPr>
            <w:tcW w:type="dxa" w:w="13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Calibri" w:cs="Calibri" w:hAnsi="Calibri"/>
                <w:b/>
                <w:sz w:val="22"/>
                <w:szCs w:val="22"/>
              </w:rPr>
              <w:t>Terminale</w:t>
            </w:r>
          </w:p>
        </w:tc>
        <w:tc>
          <w:tcPr>
            <w:tcW w:type="dxa" w:w="39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Calibri" w:cs="Calibri" w:hAnsi="Calibri"/>
                <w:b/>
                <w:sz w:val="22"/>
                <w:szCs w:val="22"/>
              </w:rPr>
              <w:t>Gestion de l’entreprise</w:t>
            </w:r>
          </w:p>
          <w:p>
            <w:pPr>
              <w:pStyle w:val="style0"/>
              <w:numPr>
                <w:ilvl w:val="0"/>
                <w:numId w:val="6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Intérêts simples et composés</w:t>
            </w:r>
          </w:p>
          <w:p>
            <w:pPr>
              <w:pStyle w:val="style0"/>
              <w:ind w:hanging="0" w:left="360" w:right="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6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Capitalisation et amortissement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leader="none" w:pos="72" w:val="left"/>
              </w:tabs>
              <w:ind w:hanging="360" w:left="72" w:right="0"/>
            </w:pPr>
            <w:r>
              <w:rPr>
                <w:rFonts w:ascii="Calibri" w:cs="Calibri" w:hAnsi="Calibri"/>
                <w:sz w:val="22"/>
                <w:szCs w:val="22"/>
              </w:rPr>
              <w:t>Emprunts indivis (annuités, intérêts, tableau d’amortissement)</w:t>
            </w:r>
          </w:p>
        </w:tc>
        <w:tc>
          <w:tcPr>
            <w:tcW w:type="dxa" w:w="50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Les polymères</w:t>
            </w:r>
          </w:p>
          <w:p>
            <w:pPr>
              <w:pStyle w:val="style0"/>
              <w:ind w:hanging="0" w:left="360" w:right="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La  ionophorèse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Approfondissement des ultrasons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  <w:numPr>
                <w:ilvl w:val="0"/>
                <w:numId w:val="4"/>
              </w:numPr>
            </w:pPr>
            <w:r>
              <w:rPr>
                <w:rFonts w:ascii="Calibri" w:cs="Calibri" w:hAnsi="Calibri"/>
                <w:sz w:val="22"/>
                <w:szCs w:val="22"/>
              </w:rPr>
              <w:t>Pression des fluides</w:t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  <w:p>
            <w:pPr>
              <w:pStyle w:val="style0"/>
            </w:pPr>
            <w:r>
              <w:rPr>
                <w:rFonts w:ascii="Calibri" w:cs="Calibri" w:hAnsi="Calibri"/>
              </w:rPr>
            </w:r>
          </w:p>
        </w:tc>
      </w:tr>
    </w:tbl>
    <w:p>
      <w:pPr>
        <w:pStyle w:val="style0"/>
      </w:pPr>
      <w:r>
        <w:rPr>
          <w:rFonts w:ascii="Calibri" w:cs="Calibri" w:hAnsi="Calibri"/>
        </w:rPr>
      </w:r>
    </w:p>
    <w:p>
      <w:pPr>
        <w:pStyle w:val="style0"/>
      </w:pPr>
      <w:r>
        <w:rPr>
          <w:rFonts w:ascii="Calibri" w:cs="Calibri" w:hAnsi="Calibri"/>
        </w:rPr>
      </w:r>
    </w:p>
    <w:p>
      <w:pPr>
        <w:pStyle w:val="style0"/>
      </w:pPr>
      <w:r>
        <w:rPr>
          <w:rFonts w:ascii="Calibri" w:cs="Calibri" w:hAnsi="Calibri"/>
        </w:rPr>
      </w:r>
    </w:p>
    <w:p>
      <w:pPr>
        <w:pStyle w:val="style0"/>
      </w:pPr>
      <w:r>
        <w:rPr>
          <w:rFonts w:ascii="Calibri" w:cs="Calibri" w:hAnsi="Calibri"/>
        </w:rPr>
      </w:r>
    </w:p>
    <w:p>
      <w:pPr>
        <w:pStyle w:val="style24"/>
      </w:pPr>
      <w:r>
        <w:rPr>
          <w:b/>
          <w:i/>
          <w:color w:val="FF0000"/>
          <w:sz w:val="16"/>
          <w:szCs w:val="16"/>
        </w:rPr>
        <w:t>Fiche action n°3Bloc horaire de 152 heures. Document groupe de travail. Académie de Poitiers Mai 2010. JPL/PPR/CB/FA/MB/DM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Académie de Poitiers  </w:t>
        <w:tab/>
      </w:r>
    </w:p>
    <w:p>
      <w:pPr>
        <w:pStyle w:val="style0"/>
      </w:pPr>
      <w:r>
        <w:rPr>
          <w:i/>
        </w:rPr>
        <w:t>Utilisation du bloc horaire de 152 heures correspondant aux enseignements généraux liés à la spécialité.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Filière professionnelle : </w:t>
      </w:r>
      <w:r>
        <w:rPr>
          <w:b/>
        </w:rPr>
        <w:t>Bac Pro</w:t>
      </w:r>
      <w:r>
        <w:rPr/>
        <w:t xml:space="preserve"> </w:t>
      </w:r>
    </w:p>
    <w:p>
      <w:pPr>
        <w:pStyle w:val="style0"/>
      </w:pPr>
      <w:r>
        <w:rPr/>
        <w:t xml:space="preserve">Spécialité : </w:t>
      </w:r>
      <w:r>
        <w:rPr>
          <w:b/>
        </w:rPr>
        <w:t>Esthétique Cosmétique Parfumerie</w:t>
      </w:r>
    </w:p>
    <w:p>
      <w:pPr>
        <w:pStyle w:val="style0"/>
      </w:pPr>
      <w:r>
        <w:rPr/>
        <w:t xml:space="preserve">Discipline d’enseignement général concernée : </w:t>
      </w:r>
      <w:r>
        <w:rPr>
          <w:b/>
        </w:rPr>
        <w:t>Sciences</w:t>
      </w:r>
    </w:p>
    <w:p>
      <w:pPr>
        <w:pStyle w:val="style0"/>
      </w:pPr>
      <w:r>
        <w:rPr>
          <w:b/>
        </w:rPr>
      </w:r>
    </w:p>
    <w:p>
      <w:pPr>
        <w:pStyle w:val="style0"/>
        <w:pBdr>
          <w:bottom w:color="00000A" w:space="0" w:sz="12" w:val="single"/>
        </w:pBdr>
      </w:pPr>
      <w:r>
        <w:rPr>
          <w:b/>
          <w:i/>
        </w:rPr>
        <w:t>(La répartition du bloc horaire des 152 heures est distribuée sur les trois années en arts appliqués et en maths-sciences à raison d’une heure par semaine pour chacune des disciplines. Ce choix a été établi sur conseil de l’inspectrice de la spécialité et en accord avec les enseignants des différentes disciplines.)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069"/>
        <w:gridCol w:w="3517"/>
        <w:gridCol w:w="3602"/>
      </w:tblGrid>
      <w:tr>
        <w:trPr>
          <w:cantSplit w:val="false"/>
        </w:trPr>
        <w:tc>
          <w:tcPr>
            <w:tcW w:type="dxa" w:w="3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</w:t>
            </w: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Thème :</w:t>
            </w:r>
          </w:p>
        </w:tc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Cosmétologie</w:t>
            </w:r>
          </w:p>
        </w:tc>
        <w:tc>
          <w:tcPr>
            <w:tcW w:type="dxa" w:w="36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Technologie des appareils</w:t>
            </w:r>
          </w:p>
        </w:tc>
      </w:tr>
      <w:tr>
        <w:trPr>
          <w:cantSplit w:val="false"/>
        </w:trPr>
        <w:tc>
          <w:tcPr>
            <w:tcW w:type="dxa" w:w="3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</w:t>
            </w: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Objectif(s) pédagogique(s) de l’enseignement général lié à la spécialité :</w:t>
            </w:r>
          </w:p>
        </w:tc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Concevoir un produit cosmétique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Prévenir les risques professionnels (santé, sécurité)</w:t>
            </w:r>
          </w:p>
        </w:tc>
        <w:tc>
          <w:tcPr>
            <w:tcW w:type="dxa" w:w="36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Prévenir les risques professionnels (santé, sécurité)</w:t>
            </w:r>
          </w:p>
        </w:tc>
      </w:tr>
      <w:tr>
        <w:trPr>
          <w:cantSplit w:val="false"/>
        </w:trPr>
        <w:tc>
          <w:tcPr>
            <w:tcW w:type="dxa" w:w="3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 xml:space="preserve"> </w:t>
            </w: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Contenus de la formation (exprimés en compétences, notions à acquérir et maîtriser)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</w:r>
          </w:p>
        </w:tc>
        <w:tc>
          <w:tcPr>
            <w:tcW w:type="dxa" w:w="3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-Différencier les formes galéniques des produits cosmétiques (solutions, dispersions) (</w:t>
            </w:r>
            <w:r>
              <w:rPr>
                <w:rFonts w:cs="Times New Roman" w:eastAsia="Times New Roman"/>
                <w:color w:val="548DD4"/>
                <w:sz w:val="20"/>
                <w:szCs w:val="20"/>
                <w:lang w:eastAsia="fr-FR"/>
              </w:rPr>
              <w:t>TP : Fabrication d’une crème</w:t>
            </w: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Définir un tensioactif, énoncer ses caractéristiques et ses propriétés. Enumérer les différents types de tensioactifs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Identifier les groupes fonctionnels des composés organiques présents dans les produits cosmétiques (hydrocarbure, alcool, acide carboxylique, aldéhyde, cétone, ester) (</w:t>
            </w:r>
            <w:r>
              <w:rPr>
                <w:rFonts w:cs="Times New Roman" w:eastAsia="Times New Roman"/>
                <w:color w:val="548DD4"/>
                <w:sz w:val="20"/>
                <w:szCs w:val="20"/>
                <w:lang w:eastAsia="fr-FR"/>
              </w:rPr>
              <w:t>TP : Fabrication d’une huile essentielle</w:t>
            </w: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Nommer des exemples de composés organiques présents dans les produits cosmétiques (hydrocarbure, alcool, acide carboxylique, aldéhyde, cétone)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Réaliser une saponification, une estérification. (</w:t>
            </w:r>
            <w:r>
              <w:rPr>
                <w:rFonts w:cs="Times New Roman" w:eastAsia="Times New Roman"/>
                <w:color w:val="548DD4"/>
                <w:sz w:val="20"/>
                <w:szCs w:val="20"/>
                <w:lang w:eastAsia="fr-FR"/>
              </w:rPr>
              <w:t>TP : Fabrication d’un savon naturel</w:t>
            </w: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-Enumérer les différents traitements de l’eau.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-Expliquer le principe de la polymérisation et de la polycondensation.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Connaître la règlementation des produits cosmétiques</w:t>
            </w:r>
          </w:p>
        </w:tc>
        <w:tc>
          <w:tcPr>
            <w:tcW w:type="dxa" w:w="36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-Prévenir les risques électriques liés à l’utilisation des différents courants.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Connaître la différence entre un courant alternatif et un courant continu.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Interpréter la plaque signalétique d’un appareil électrique.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Evaluer sa consommation en énergie électrique.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Connaître les caractéristiques des ondes acoustiques.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Connaître les caractéristiques des ondes sonores.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 Connaître les différentes grandeurs caractéristiques d’un rayonnement lumineux. (</w:t>
            </w:r>
            <w:r>
              <w:rPr>
                <w:rFonts w:cs="Times New Roman" w:eastAsia="Times New Roman"/>
                <w:color w:val="548DD4"/>
                <w:sz w:val="20"/>
                <w:szCs w:val="20"/>
                <w:lang w:eastAsia="fr-FR"/>
              </w:rPr>
              <w:t>TP : Pourquoi se protéger du soleil ?</w:t>
            </w: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-Définir la pression d’un fluide.</w:t>
            </w:r>
          </w:p>
        </w:tc>
      </w:tr>
      <w:tr>
        <w:trPr>
          <w:cantSplit w:val="false"/>
        </w:trPr>
        <w:tc>
          <w:tcPr>
            <w:tcW w:type="dxa" w:w="3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 xml:space="preserve"> </w:t>
            </w: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Modalité pédagogique :</w:t>
            </w:r>
          </w:p>
        </w:tc>
        <w:tc>
          <w:tcPr>
            <w:tcW w:type="dxa" w:w="71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Répartition sur les trois années de formation</w:t>
            </w:r>
          </w:p>
        </w:tc>
      </w:tr>
      <w:tr>
        <w:trPr>
          <w:cantSplit w:val="false"/>
        </w:trPr>
        <w:tc>
          <w:tcPr>
            <w:tcW w:type="dxa" w:w="3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 xml:space="preserve"> </w:t>
            </w: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Mode d’évaluation des acquisitions :</w:t>
            </w:r>
          </w:p>
        </w:tc>
        <w:tc>
          <w:tcPr>
            <w:tcW w:type="dxa" w:w="711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1416" w:right="0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fr-FR"/>
              </w:rPr>
              <w:t>Epreuve ponctuelle écrite – durée : 4 h (U11)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  <w:t xml:space="preserve">- Durée de mise en œuvre : </w:t>
      </w:r>
    </w:p>
    <w:p>
      <w:pPr>
        <w:pStyle w:val="style0"/>
        <w:ind w:firstLine="708" w:left="708" w:right="0"/>
      </w:pPr>
      <w:r>
        <w:rPr/>
        <w:t>- 24 heures en seconde bac pro</w:t>
      </w:r>
    </w:p>
    <w:p>
      <w:pPr>
        <w:pStyle w:val="style0"/>
        <w:ind w:firstLine="708" w:left="708" w:right="0"/>
      </w:pPr>
      <w:r>
        <w:rPr/>
        <w:t>- 12 heures en première bac pro</w:t>
      </w:r>
    </w:p>
    <w:p>
      <w:pPr>
        <w:pStyle w:val="style0"/>
        <w:ind w:firstLine="708" w:left="708" w:right="0"/>
      </w:pPr>
      <w:r>
        <w:rPr/>
        <w:t>- 12 heures en terminale bac pro</w:t>
      </w:r>
    </w:p>
    <w:p>
      <w:pPr>
        <w:pStyle w:val="style0"/>
      </w:pPr>
      <w:r>
        <w:rPr/>
      </w:r>
    </w:p>
    <w:p>
      <w:pPr>
        <w:pStyle w:val="style0"/>
      </w:pPr>
      <w:r>
        <w:rPr/>
        <w:t>- Programmation dans le cycle du bac pro en 3 ans :</w:t>
      </w:r>
    </w:p>
    <w:p>
      <w:pPr>
        <w:pStyle w:val="style0"/>
      </w:pPr>
      <w:r>
        <w:rPr/>
        <w:pict>
          <v:shapetype id="shapetype_88" coordsize="21600,21600" o:spt="88" adj="10800,1800" path="m,qx@13@14l10800@5qy@15@16qx@17@18l10800@6qy@19@20xnsem,qx@13@14l10800@5qy@15@16qx@17@18l10800@6qy@19@20nfe">
            <v:stroke joinstyle="miter"/>
            <v:formulas>
              <v:f eqn="val #0"/>
              <v:f eqn="sum 21600 0 @0"/>
              <v:f eqn="min @1 @0"/>
              <v:f eqn="prod @2 1 2"/>
              <v:f eqn="val #1"/>
              <v:f eqn="sum @0 0 @4"/>
              <v:f eqn="sum height 0 @4"/>
              <v:f eqn="sumangle 0 45 0"/>
              <v:f eqn="cos 10800 @7"/>
              <v:f eqn="sin @4 @7"/>
              <v:f eqn="sum 0 @8 0"/>
              <v:f eqn="sum @4 0 @9"/>
              <v:f eqn="sum height @9 @4"/>
              <v:f eqn="sum 10800 0 0"/>
              <v:f eqn="sum @4 0 0"/>
              <v:f eqn="sum 10800 10800 0"/>
              <v:f eqn="sum @4 @5 0"/>
              <v:f eqn="sum 0 @15 10800"/>
              <v:f eqn="sum @4 @16 0"/>
              <v:f eqn="sum 0 10800 10800"/>
              <v:f eqn="sum @4 @6 0"/>
            </v:formulas>
            <v:path gradientshapeok="t" o:connecttype="rect" textboxrect="0,@11,@10,@12"/>
            <v:handles>
              <v:h position="10800,@4"/>
              <v:h position="21600,@0"/>
            </v:handles>
          </v:shapetype>
          <v:shape id="shape_0" style="position:absolute;margin-left:81pt;margin-top:10.25pt;width:8.95pt;height:33.05pt" type="shapetype_88">
            <v:wrap v:type="none"/>
            <v:fill detectmouseclick="t"/>
            <v:stroke color="black" joinstyle="round"/>
          </v:shape>
        </w:pict>
      </w:r>
    </w:p>
    <w:p>
      <w:pPr>
        <w:pStyle w:val="style25"/>
        <w:spacing w:after="120" w:before="0"/>
        <w:contextualSpacing w:val="false"/>
      </w:pPr>
      <w:r>
        <w:rPr/>
        <w:t>Selon le plan de formation des professeurs d’esthétique</w:t>
      </w:r>
    </w:p>
    <w:p>
      <w:pPr>
        <w:pStyle w:val="style0"/>
      </w:pPr>
      <w:r>
        <w:rPr/>
        <w:t>Date de début :</w:t>
      </w:r>
    </w:p>
    <w:p>
      <w:pPr>
        <w:pStyle w:val="style0"/>
      </w:pPr>
      <w:r>
        <w:rPr/>
        <w:t>Date de fin :</w:t>
      </w:r>
    </w:p>
    <w:p>
      <w:pPr>
        <w:pStyle w:val="style0"/>
      </w:pPr>
      <w:r>
        <w:rPr/>
        <w:t>- Intervenant(s) : Professeur de Mathématiques - Sciences</w:t>
      </w:r>
    </w:p>
    <w:p>
      <w:pPr>
        <w:pStyle w:val="style24"/>
      </w:pPr>
      <w:r>
        <w:rPr>
          <w:b/>
          <w:i/>
          <w:color w:val="FF0000"/>
          <w:sz w:val="16"/>
          <w:szCs w:val="16"/>
        </w:rPr>
        <w:t>Fiche action n°3Bloc horaire de 152 heures. Document groupe de travail. Académie de Poitiers Mai 2010. JPL/PPR/CB/FA/MB/DM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Filière professionnelle : </w:t>
      </w:r>
      <w:r>
        <w:rPr>
          <w:b/>
        </w:rPr>
        <w:t>Bac Pro</w:t>
      </w:r>
      <w:r>
        <w:rPr/>
        <w:t xml:space="preserve"> </w:t>
      </w:r>
    </w:p>
    <w:p>
      <w:pPr>
        <w:pStyle w:val="style0"/>
      </w:pPr>
      <w:r>
        <w:rPr/>
        <w:t xml:space="preserve">Spécialité : </w:t>
      </w:r>
      <w:r>
        <w:rPr>
          <w:b/>
        </w:rPr>
        <w:t>Esthétique Cosmétique Parfumerie</w:t>
      </w:r>
    </w:p>
    <w:p>
      <w:pPr>
        <w:pStyle w:val="style0"/>
      </w:pPr>
      <w:r>
        <w:rPr/>
        <w:t xml:space="preserve">Discipline d’enseignement général concernée : </w:t>
      </w:r>
      <w:r>
        <w:rPr>
          <w:b/>
        </w:rPr>
        <w:t>Maths</w:t>
      </w:r>
    </w:p>
    <w:p>
      <w:pPr>
        <w:pStyle w:val="style0"/>
      </w:pPr>
      <w:r>
        <w:rPr>
          <w:b/>
        </w:rPr>
      </w:r>
    </w:p>
    <w:p>
      <w:pPr>
        <w:pStyle w:val="style0"/>
      </w:pPr>
      <w:r>
        <w:rPr>
          <w:b/>
        </w:rPr>
      </w:r>
    </w:p>
    <w:p>
      <w:pPr>
        <w:pStyle w:val="style0"/>
        <w:pBdr>
          <w:bottom w:color="00000A" w:space="0" w:sz="12" w:val="single"/>
        </w:pBdr>
      </w:pPr>
      <w:r>
        <w:rPr>
          <w:b/>
          <w:i/>
        </w:rPr>
        <w:t>(La répartition du bloc horaire des 152 heures est distribuée sur les trois années en arts appliqués et en maths-sciences à raison d’une heure par semaine pour chacune des disciplines. Ce choix a été établi sur conseil de l’inspectrice de la spécialité et en accord avec les enseignants des différentes disciplines.)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7"/>
        </w:numPr>
      </w:pPr>
      <w:r>
        <w:rPr/>
        <w:t>Thème : Gestion de l’entreprise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7"/>
        </w:numPr>
      </w:pPr>
      <w:r>
        <w:rPr/>
        <w:t>Objectif(s) pédagogique(s) de l’enseignement général lié à la spécialité :</w:t>
      </w:r>
    </w:p>
    <w:p>
      <w:pPr>
        <w:pStyle w:val="style0"/>
        <w:ind w:hanging="0" w:left="1416" w:right="0"/>
      </w:pPr>
      <w:r>
        <w:rPr/>
        <w:t>Vie économique et professionnelle :</w:t>
      </w:r>
    </w:p>
    <w:p>
      <w:pPr>
        <w:pStyle w:val="style0"/>
        <w:numPr>
          <w:ilvl w:val="1"/>
          <w:numId w:val="7"/>
        </w:numPr>
      </w:pPr>
      <w:r>
        <w:rPr/>
        <w:t>gérer des stocks</w:t>
      </w:r>
    </w:p>
    <w:p>
      <w:pPr>
        <w:pStyle w:val="style0"/>
        <w:numPr>
          <w:ilvl w:val="1"/>
          <w:numId w:val="7"/>
        </w:numPr>
      </w:pPr>
      <w:r>
        <w:rPr/>
        <w:t>Choisir un crédit</w:t>
      </w:r>
    </w:p>
    <w:p>
      <w:pPr>
        <w:pStyle w:val="style0"/>
        <w:numPr>
          <w:ilvl w:val="1"/>
          <w:numId w:val="7"/>
        </w:numPr>
      </w:pPr>
      <w:r>
        <w:rPr/>
        <w:t>Comprendre les éléments d’une facture ou d’un bon de commande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7"/>
        </w:numPr>
      </w:pPr>
      <w:r>
        <w:rPr/>
        <w:t>Contenus de la formation (exprimés en compétences, notions à acquérir et maîtriser)</w:t>
      </w:r>
    </w:p>
    <w:p>
      <w:pPr>
        <w:pStyle w:val="style0"/>
        <w:numPr>
          <w:ilvl w:val="1"/>
          <w:numId w:val="7"/>
        </w:numPr>
      </w:pPr>
      <w:r>
        <w:rPr/>
        <w:t>Calculer le coût de revient complet d’un produit*</w:t>
      </w:r>
    </w:p>
    <w:p>
      <w:pPr>
        <w:pStyle w:val="style0"/>
        <w:numPr>
          <w:ilvl w:val="1"/>
          <w:numId w:val="7"/>
        </w:numPr>
      </w:pPr>
      <w:r>
        <w:rPr/>
        <w:t>Calculer le prix de vente d’un produit par l’application d’un coefficient multiplicateur*</w:t>
      </w:r>
    </w:p>
    <w:p>
      <w:pPr>
        <w:pStyle w:val="style0"/>
        <w:numPr>
          <w:ilvl w:val="1"/>
          <w:numId w:val="7"/>
        </w:numPr>
      </w:pPr>
      <w:r>
        <w:rPr/>
        <w:t>Différencier marge brute et marge nette*</w:t>
      </w:r>
    </w:p>
    <w:p>
      <w:pPr>
        <w:pStyle w:val="style0"/>
        <w:numPr>
          <w:ilvl w:val="1"/>
          <w:numId w:val="7"/>
        </w:numPr>
      </w:pPr>
      <w:r>
        <w:rPr/>
        <w:t>Proposer un montage financier de l’entreprise (intérêts simples et composés, capitalisation et amortissement, emprunts)**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7"/>
        </w:numPr>
      </w:pPr>
      <w:r>
        <w:rPr/>
        <w:t>Modalité pédagogique :</w:t>
      </w:r>
    </w:p>
    <w:p>
      <w:pPr>
        <w:pStyle w:val="style0"/>
      </w:pPr>
      <w:r>
        <w:rPr/>
      </w:r>
    </w:p>
    <w:p>
      <w:pPr>
        <w:pStyle w:val="style0"/>
        <w:ind w:hanging="0" w:left="1800" w:right="0"/>
      </w:pPr>
      <w:r>
        <w:rPr/>
        <w:t>* en première bac pro</w:t>
      </w:r>
    </w:p>
    <w:p>
      <w:pPr>
        <w:pStyle w:val="style0"/>
        <w:ind w:hanging="0" w:left="1800" w:right="0"/>
      </w:pPr>
      <w:r>
        <w:rPr/>
        <w:t>** en terminale bac pro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7"/>
        </w:numPr>
      </w:pPr>
      <w:r>
        <w:rPr/>
        <w:t>Mode d’évaluation des acquisitions :</w:t>
      </w:r>
    </w:p>
    <w:p>
      <w:pPr>
        <w:pStyle w:val="style0"/>
      </w:pPr>
      <w:r>
        <w:rPr/>
      </w:r>
    </w:p>
    <w:p>
      <w:pPr>
        <w:pStyle w:val="style0"/>
        <w:ind w:hanging="0" w:left="1416" w:right="0"/>
      </w:pPr>
      <w:r>
        <w:rPr/>
        <w:t>Epreuve ponctuelle écrite – durée : 3 h (U21)</w:t>
      </w:r>
    </w:p>
    <w:p>
      <w:pPr>
        <w:pStyle w:val="style0"/>
      </w:pPr>
      <w:r>
        <w:rPr/>
      </w:r>
    </w:p>
    <w:p>
      <w:pPr>
        <w:pStyle w:val="style0"/>
      </w:pPr>
      <w:r>
        <w:rPr/>
        <w:t>- Durée de mise en œuvre :</w:t>
      </w:r>
    </w:p>
    <w:p>
      <w:pPr>
        <w:pStyle w:val="style0"/>
        <w:ind w:hanging="0" w:left="1800" w:right="0"/>
      </w:pPr>
      <w:r>
        <w:rPr/>
        <w:t>*   12 heures en première bac pro</w:t>
      </w:r>
    </w:p>
    <w:p>
      <w:pPr>
        <w:pStyle w:val="style0"/>
        <w:ind w:hanging="0" w:left="1800" w:right="0"/>
      </w:pPr>
      <w:r>
        <w:rPr/>
        <w:t>** 12 heures en terminale bac pro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- Programmation dans le cycle du bac pro en 3 ans :</w:t>
      </w:r>
    </w:p>
    <w:p>
      <w:pPr>
        <w:pStyle w:val="style0"/>
      </w:pPr>
      <w:r>
        <w:rPr/>
        <w:pict>
          <v:shape id="shape_0" style="position:absolute;margin-left:81pt;margin-top:4.25pt;width:8.95pt;height:44.95pt" type="shapetype_88">
            <v:wrap v:type="none"/>
            <v:fill detectmouseclick="t"/>
            <v:stroke color="black" joinstyle="round"/>
          </v:shape>
        </w:pict>
      </w:r>
    </w:p>
    <w:p>
      <w:pPr>
        <w:pStyle w:val="style25"/>
        <w:spacing w:after="120" w:before="0"/>
        <w:contextualSpacing w:val="false"/>
      </w:pPr>
      <w:r>
        <w:rPr/>
        <w:t>Selon le plan de formation du professeur de gestion</w:t>
      </w:r>
    </w:p>
    <w:p>
      <w:pPr>
        <w:pStyle w:val="style0"/>
      </w:pPr>
      <w:r>
        <w:rPr/>
        <w:t>Date de début :</w:t>
      </w:r>
    </w:p>
    <w:p>
      <w:pPr>
        <w:pStyle w:val="style0"/>
      </w:pPr>
      <w:r>
        <w:rPr/>
        <w:t>Date de fin :</w:t>
      </w:r>
    </w:p>
    <w:p>
      <w:pPr>
        <w:pStyle w:val="style0"/>
      </w:pPr>
      <w:r>
        <w:rPr/>
      </w:r>
    </w:p>
    <w:p>
      <w:pPr>
        <w:pStyle w:val="style0"/>
      </w:pPr>
      <w:r>
        <w:rPr/>
        <w:t>- Intervenant(s) : Professeur de Mathématiques - Sciences</w:t>
      </w:r>
    </w:p>
    <w:p>
      <w:pPr>
        <w:pStyle w:val="style0"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-"/>
      <w:lvlJc w:val="left"/>
      <w:pPr>
        <w:tabs>
          <w:tab w:pos="1440" w:val="num"/>
        </w:tabs>
        <w:ind w:hanging="360" w:left="1440"/>
      </w:pPr>
      <w:rPr>
        <w:rFonts w:ascii="Times New Roman" w:cs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fr-FR" w:val="fr-FR"/>
    </w:rPr>
  </w:style>
  <w:style w:styleId="style15" w:type="character">
    <w:name w:val="Default Paragraph Font"/>
    <w:next w:val="style15"/>
    <w:rPr/>
  </w:style>
  <w:style w:styleId="style16" w:type="character">
    <w:name w:val="Pied de page Car"/>
    <w:basedOn w:val="style15"/>
    <w:next w:val="style16"/>
    <w:rPr>
      <w:rFonts w:ascii="Times New Roman" w:cs="Times New Roman" w:eastAsia="Times New Roman" w:hAnsi="Times New Roman"/>
      <w:sz w:val="24"/>
      <w:szCs w:val="24"/>
      <w:lang w:eastAsia="fr-FR"/>
    </w:rPr>
  </w:style>
  <w:style w:styleId="style17" w:type="character">
    <w:name w:val="ListLabel 1"/>
    <w:next w:val="style17"/>
    <w:rPr>
      <w:rFonts w:cs="Courier New"/>
    </w:rPr>
  </w:style>
  <w:style w:styleId="style18" w:type="character">
    <w:name w:val="ListLabel 2"/>
    <w:next w:val="style18"/>
    <w:rPr>
      <w:rFonts w:cs="Times New Roman" w:eastAsia="Times New Roman"/>
    </w:rPr>
  </w:style>
  <w:style w:styleId="style19" w:type="paragraph">
    <w:name w:val="Titre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Corps de texte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e"/>
    <w:basedOn w:val="style20"/>
    <w:next w:val="style21"/>
    <w:pPr/>
    <w:rPr>
      <w:rFonts w:cs="Mangal"/>
    </w:rPr>
  </w:style>
  <w:style w:styleId="style22" w:type="paragraph">
    <w:name w:val="Légende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Pied de page"/>
    <w:basedOn w:val="style0"/>
    <w:next w:val="style24"/>
    <w:pPr>
      <w:suppressLineNumbers/>
      <w:tabs>
        <w:tab w:leader="none" w:pos="4536" w:val="center"/>
        <w:tab w:leader="none" w:pos="9072" w:val="right"/>
      </w:tabs>
    </w:pPr>
    <w:rPr/>
  </w:style>
  <w:style w:styleId="style25" w:type="paragraph">
    <w:name w:val="Contenu du cadre"/>
    <w:basedOn w:val="style20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4F5BAA8B.dotm</Template>
  <TotalTime>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2011-04-05T18:51:00.00Z</dcterms:created>
  <dc:creator>laurence</dc:creator>
  <cp:lastModifiedBy>LP Chasseneil</cp:lastModifiedBy>
  <dcterms:modified xsi:type="dcterms:W3CDTF">2012-10-26T09:30:00.00Z</dcterms:modified>
  <cp:revision>5</cp:revision>
</cp:coreProperties>
</file>