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3"/>
        <w:gridCol w:w="2593"/>
        <w:gridCol w:w="1465"/>
        <w:gridCol w:w="2531"/>
      </w:tblGrid>
      <w:tr w:rsidR="00A27B99" w:rsidTr="00506197">
        <w:trPr>
          <w:cantSplit/>
          <w:trHeight w:val="670"/>
        </w:trPr>
        <w:tc>
          <w:tcPr>
            <w:tcW w:w="285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27B99" w:rsidRDefault="00A27B99" w:rsidP="00506197">
            <w:pPr>
              <w:pStyle w:val="Heading2"/>
              <w:framePr w:hSpace="0" w:wrap="auto" w:vAnchor="margin" w:hAnchor="text" w:yAlign="inline"/>
            </w:pPr>
            <w:r>
              <w:t>ACADEMIE  DE   POITIERS</w:t>
            </w:r>
          </w:p>
        </w:tc>
        <w:tc>
          <w:tcPr>
            <w:tcW w:w="4597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27B99" w:rsidRDefault="00A27B99" w:rsidP="005061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Etablissement :      </w:t>
            </w:r>
          </w:p>
          <w:p w:rsidR="00A27B99" w:rsidRDefault="00A27B99" w:rsidP="005061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LP Coulomb ANGOULEME</w:t>
            </w:r>
          </w:p>
        </w:tc>
        <w:tc>
          <w:tcPr>
            <w:tcW w:w="288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27B99" w:rsidRDefault="00A27B99" w:rsidP="005061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Session : 2011</w:t>
            </w:r>
          </w:p>
        </w:tc>
      </w:tr>
      <w:tr w:rsidR="00A27B99" w:rsidTr="00506197">
        <w:trPr>
          <w:cantSplit/>
          <w:trHeight w:val="670"/>
        </w:trPr>
        <w:tc>
          <w:tcPr>
            <w:tcW w:w="10330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27B99" w:rsidRDefault="00A27B99" w:rsidP="00506197">
            <w:pPr>
              <w:rPr>
                <w:sz w:val="28"/>
              </w:rPr>
            </w:pPr>
            <w:r>
              <w:rPr>
                <w:sz w:val="28"/>
              </w:rPr>
              <w:t xml:space="preserve">Spécialité de BEP :   Maintenance des équipements industriels (MEI)          </w:t>
            </w:r>
          </w:p>
        </w:tc>
      </w:tr>
      <w:tr w:rsidR="00A27B99" w:rsidTr="00506197">
        <w:trPr>
          <w:cantSplit/>
          <w:trHeight w:val="730"/>
        </w:trPr>
        <w:tc>
          <w:tcPr>
            <w:tcW w:w="5791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27B99" w:rsidRDefault="00A27B99" w:rsidP="0050619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Evaluation intermédiaire </w:t>
            </w:r>
            <w:r>
              <w:rPr>
                <w:b/>
                <w:sz w:val="28"/>
              </w:rPr>
              <w:t>BEP n°2</w:t>
            </w:r>
          </w:p>
          <w:p w:rsidR="00A27B99" w:rsidRDefault="00A27B99" w:rsidP="00506197">
            <w:pPr>
              <w:pStyle w:val="Heading1"/>
              <w:framePr w:hSpace="0" w:wrap="auto" w:hAnchor="text" w:yAlign="in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MATHEMATIQUES</w:t>
            </w:r>
          </w:p>
        </w:tc>
        <w:tc>
          <w:tcPr>
            <w:tcW w:w="4539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A27B99" w:rsidRDefault="00A27B99" w:rsidP="005061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Durée : 30 minutes</w:t>
            </w:r>
          </w:p>
        </w:tc>
      </w:tr>
    </w:tbl>
    <w:p w:rsidR="00A27B99" w:rsidRDefault="00A27B99" w:rsidP="00FF6946">
      <w:r>
        <w:t xml:space="preserve"> </w:t>
      </w:r>
    </w:p>
    <w:p w:rsidR="00A27B99" w:rsidRDefault="00A27B99" w:rsidP="00FF6946">
      <w:r>
        <w:t>NOM et Prénom du CANDIDAT : ………………………………………………………………………</w:t>
      </w:r>
      <w:r>
        <w:tab/>
      </w:r>
    </w:p>
    <w:p w:rsidR="00A27B99" w:rsidRDefault="00A27B99" w:rsidP="00FF6946">
      <w:r>
        <w:t xml:space="preserve">Date de l’évaluation : </w:t>
      </w:r>
      <w:r>
        <w:tab/>
        <w:t xml:space="preserve">       ………………………………………………………………………………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4"/>
        <w:gridCol w:w="2377"/>
        <w:gridCol w:w="4921"/>
      </w:tblGrid>
      <w:tr w:rsidR="00A27B99" w:rsidTr="00637DF6">
        <w:trPr>
          <w:trHeight w:hRule="exact" w:val="851"/>
          <w:jc w:val="center"/>
        </w:trPr>
        <w:tc>
          <w:tcPr>
            <w:tcW w:w="1986" w:type="dxa"/>
            <w:vAlign w:val="center"/>
          </w:tcPr>
          <w:p w:rsidR="00A27B99" w:rsidRDefault="00A27B99" w:rsidP="00637DF6">
            <w:pPr>
              <w:jc w:val="center"/>
            </w:pPr>
            <w:r>
              <w:t>Question</w:t>
            </w:r>
          </w:p>
        </w:tc>
        <w:tc>
          <w:tcPr>
            <w:tcW w:w="2551" w:type="dxa"/>
            <w:vAlign w:val="center"/>
          </w:tcPr>
          <w:p w:rsidR="00A27B99" w:rsidRDefault="00A27B99" w:rsidP="00637DF6">
            <w:pPr>
              <w:jc w:val="center"/>
            </w:pPr>
            <w:r>
              <w:t>Domaine</w:t>
            </w:r>
          </w:p>
        </w:tc>
        <w:tc>
          <w:tcPr>
            <w:tcW w:w="5668" w:type="dxa"/>
            <w:vAlign w:val="center"/>
          </w:tcPr>
          <w:p w:rsidR="00A27B99" w:rsidRDefault="00A27B99" w:rsidP="00637DF6">
            <w:pPr>
              <w:jc w:val="center"/>
            </w:pPr>
            <w:r>
              <w:t>Capacités</w:t>
            </w:r>
          </w:p>
        </w:tc>
      </w:tr>
      <w:tr w:rsidR="00A27B99" w:rsidTr="004D0CC0">
        <w:trPr>
          <w:trHeight w:hRule="exact" w:val="851"/>
          <w:jc w:val="center"/>
        </w:trPr>
        <w:tc>
          <w:tcPr>
            <w:tcW w:w="1986" w:type="dxa"/>
            <w:vAlign w:val="center"/>
          </w:tcPr>
          <w:p w:rsidR="00A27B99" w:rsidRDefault="00A27B99" w:rsidP="004D0CC0">
            <w:pPr>
              <w:jc w:val="center"/>
            </w:pPr>
            <w:r>
              <w:t>IV. 1. 2. 3.</w:t>
            </w:r>
          </w:p>
        </w:tc>
        <w:tc>
          <w:tcPr>
            <w:tcW w:w="2551" w:type="dxa"/>
            <w:vAlign w:val="center"/>
          </w:tcPr>
          <w:p w:rsidR="00A27B99" w:rsidRDefault="00A27B99" w:rsidP="00637DF6">
            <w:pPr>
              <w:jc w:val="center"/>
            </w:pPr>
            <w:r>
              <w:t>Suites numériques 1</w:t>
            </w:r>
          </w:p>
        </w:tc>
        <w:tc>
          <w:tcPr>
            <w:tcW w:w="5668" w:type="dxa"/>
            <w:vAlign w:val="center"/>
          </w:tcPr>
          <w:p w:rsidR="00A27B99" w:rsidRPr="004D0CC0" w:rsidRDefault="00A27B99" w:rsidP="00637DF6">
            <w:pPr>
              <w:spacing w:after="0" w:line="240" w:lineRule="auto"/>
            </w:pPr>
            <w:r w:rsidRPr="004D0CC0">
              <w:t>Générer expérimentalement des suites numériques à l’aide d’un tableur.</w:t>
            </w:r>
          </w:p>
          <w:p w:rsidR="00A27B99" w:rsidRPr="004D0CC0" w:rsidRDefault="00A27B99" w:rsidP="00637DF6">
            <w:pPr>
              <w:jc w:val="center"/>
            </w:pPr>
          </w:p>
        </w:tc>
      </w:tr>
      <w:tr w:rsidR="00A27B99" w:rsidTr="004D0CC0">
        <w:trPr>
          <w:trHeight w:hRule="exact" w:val="851"/>
          <w:jc w:val="center"/>
        </w:trPr>
        <w:tc>
          <w:tcPr>
            <w:tcW w:w="1986" w:type="dxa"/>
            <w:vAlign w:val="center"/>
          </w:tcPr>
          <w:p w:rsidR="00A27B99" w:rsidRDefault="00A27B99" w:rsidP="004D0CC0">
            <w:pPr>
              <w:jc w:val="center"/>
            </w:pPr>
            <w:r>
              <w:t>II. 1.</w:t>
            </w:r>
          </w:p>
        </w:tc>
        <w:tc>
          <w:tcPr>
            <w:tcW w:w="2551" w:type="dxa"/>
            <w:vAlign w:val="center"/>
          </w:tcPr>
          <w:p w:rsidR="00A27B99" w:rsidRDefault="00A27B99" w:rsidP="00637DF6">
            <w:pPr>
              <w:jc w:val="center"/>
            </w:pPr>
            <w:r>
              <w:t>Suites numériques 1</w:t>
            </w:r>
          </w:p>
        </w:tc>
        <w:tc>
          <w:tcPr>
            <w:tcW w:w="5668" w:type="dxa"/>
            <w:vAlign w:val="center"/>
          </w:tcPr>
          <w:p w:rsidR="00A27B99" w:rsidRPr="004D0CC0" w:rsidRDefault="00A27B99" w:rsidP="00637DF6">
            <w:r w:rsidRPr="004D0CC0">
              <w:t>Reconnaître une suite arithmétique, une suite géométrique par le calcul ou à l’aide d’un tableur.</w:t>
            </w:r>
          </w:p>
        </w:tc>
      </w:tr>
      <w:tr w:rsidR="00A27B99" w:rsidTr="004D0CC0">
        <w:trPr>
          <w:trHeight w:hRule="exact" w:val="851"/>
          <w:jc w:val="center"/>
        </w:trPr>
        <w:tc>
          <w:tcPr>
            <w:tcW w:w="1986" w:type="dxa"/>
            <w:vAlign w:val="center"/>
          </w:tcPr>
          <w:p w:rsidR="00A27B99" w:rsidRDefault="00A27B99" w:rsidP="004D0CC0">
            <w:pPr>
              <w:jc w:val="center"/>
            </w:pPr>
            <w:r>
              <w:t>V.</w:t>
            </w:r>
          </w:p>
        </w:tc>
        <w:tc>
          <w:tcPr>
            <w:tcW w:w="2551" w:type="dxa"/>
            <w:vAlign w:val="center"/>
          </w:tcPr>
          <w:p w:rsidR="00A27B99" w:rsidRDefault="00A27B99" w:rsidP="00637DF6">
            <w:pPr>
              <w:jc w:val="center"/>
            </w:pPr>
            <w:r>
              <w:t>Suites numériques 1</w:t>
            </w:r>
          </w:p>
        </w:tc>
        <w:tc>
          <w:tcPr>
            <w:tcW w:w="5668" w:type="dxa"/>
            <w:vAlign w:val="center"/>
          </w:tcPr>
          <w:p w:rsidR="00A27B99" w:rsidRPr="004D0CC0" w:rsidRDefault="00A27B99" w:rsidP="00637DF6">
            <w:r w:rsidRPr="004D0CC0">
              <w:t>Réaliser une représentation graphique d’une suite (</w:t>
            </w:r>
            <w:r w:rsidRPr="004D0CC0">
              <w:rPr>
                <w:i/>
              </w:rPr>
              <w:t>U</w:t>
            </w:r>
            <w:r w:rsidRPr="004D0CC0">
              <w:rPr>
                <w:i/>
                <w:vertAlign w:val="subscript"/>
              </w:rPr>
              <w:t>n</w:t>
            </w:r>
            <w:r w:rsidRPr="004D0CC0">
              <w:t>) arithmétique ou géométrique.</w:t>
            </w:r>
          </w:p>
          <w:p w:rsidR="00A27B99" w:rsidRPr="004D0CC0" w:rsidRDefault="00A27B99" w:rsidP="00637DF6"/>
          <w:p w:rsidR="00A27B99" w:rsidRPr="004D0CC0" w:rsidRDefault="00A27B99" w:rsidP="00637DF6"/>
        </w:tc>
      </w:tr>
      <w:tr w:rsidR="00A27B99" w:rsidTr="004D0CC0">
        <w:trPr>
          <w:trHeight w:hRule="exact" w:val="851"/>
          <w:jc w:val="center"/>
        </w:trPr>
        <w:tc>
          <w:tcPr>
            <w:tcW w:w="1986" w:type="dxa"/>
            <w:vAlign w:val="center"/>
          </w:tcPr>
          <w:p w:rsidR="00A27B99" w:rsidRDefault="00A27B99" w:rsidP="004D0CC0">
            <w:pPr>
              <w:jc w:val="center"/>
            </w:pPr>
            <w:r>
              <w:t>I.2. 3.</w:t>
            </w:r>
          </w:p>
          <w:p w:rsidR="00A27B99" w:rsidRDefault="00A27B99" w:rsidP="004D0CC0">
            <w:pPr>
              <w:jc w:val="center"/>
            </w:pPr>
            <w:r>
              <w:t>III. 1.2.</w:t>
            </w:r>
          </w:p>
        </w:tc>
        <w:tc>
          <w:tcPr>
            <w:tcW w:w="2551" w:type="dxa"/>
            <w:vAlign w:val="center"/>
          </w:tcPr>
          <w:p w:rsidR="00A27B99" w:rsidRDefault="00A27B99" w:rsidP="00637DF6">
            <w:pPr>
              <w:jc w:val="center"/>
            </w:pPr>
            <w:r>
              <w:t>Informations chiffrées ; proportionnalité.</w:t>
            </w:r>
          </w:p>
          <w:p w:rsidR="00A27B99" w:rsidRDefault="00A27B99" w:rsidP="00637DF6">
            <w:pPr>
              <w:jc w:val="center"/>
            </w:pPr>
          </w:p>
        </w:tc>
        <w:tc>
          <w:tcPr>
            <w:tcW w:w="5668" w:type="dxa"/>
            <w:vAlign w:val="center"/>
          </w:tcPr>
          <w:p w:rsidR="00A27B99" w:rsidRPr="004D0CC0" w:rsidRDefault="00A27B99" w:rsidP="00637DF6">
            <w:pPr>
              <w:jc w:val="center"/>
            </w:pPr>
            <w:r w:rsidRPr="004D0CC0">
              <w:t>Suites de nombres proportionnelles ; pourcentage</w:t>
            </w:r>
          </w:p>
        </w:tc>
      </w:tr>
      <w:tr w:rsidR="00A27B99" w:rsidTr="004D0CC0">
        <w:trPr>
          <w:trHeight w:hRule="exact" w:val="1019"/>
          <w:jc w:val="center"/>
        </w:trPr>
        <w:tc>
          <w:tcPr>
            <w:tcW w:w="1986" w:type="dxa"/>
            <w:vAlign w:val="center"/>
          </w:tcPr>
          <w:p w:rsidR="00A27B99" w:rsidRDefault="00A27B99" w:rsidP="004D0CC0">
            <w:pPr>
              <w:pStyle w:val="ListParagraph"/>
              <w:ind w:left="1080"/>
              <w:jc w:val="center"/>
            </w:pPr>
            <w:r>
              <w:t>I.1.</w:t>
            </w:r>
          </w:p>
          <w:p w:rsidR="00A27B99" w:rsidRDefault="00A27B99" w:rsidP="004D0CC0">
            <w:pPr>
              <w:pStyle w:val="ListParagraph"/>
              <w:ind w:left="1080"/>
              <w:jc w:val="center"/>
            </w:pPr>
            <w:r>
              <w:t>II.2. 3.</w:t>
            </w:r>
          </w:p>
          <w:p w:rsidR="00A27B99" w:rsidRDefault="00A27B99" w:rsidP="004D0CC0">
            <w:pPr>
              <w:pStyle w:val="ListParagraph"/>
              <w:ind w:left="1080"/>
              <w:jc w:val="center"/>
            </w:pPr>
            <w:r>
              <w:t>IV.4.</w:t>
            </w:r>
          </w:p>
        </w:tc>
        <w:tc>
          <w:tcPr>
            <w:tcW w:w="2551" w:type="dxa"/>
            <w:vAlign w:val="center"/>
          </w:tcPr>
          <w:p w:rsidR="00A27B99" w:rsidRDefault="00A27B99" w:rsidP="00637DF6">
            <w:pPr>
              <w:jc w:val="center"/>
            </w:pPr>
            <w:r>
              <w:t>Algèbre ; analyse.</w:t>
            </w:r>
          </w:p>
        </w:tc>
        <w:tc>
          <w:tcPr>
            <w:tcW w:w="5668" w:type="dxa"/>
            <w:vAlign w:val="center"/>
          </w:tcPr>
          <w:p w:rsidR="00A27B99" w:rsidRPr="004D0CC0" w:rsidRDefault="00A27B99" w:rsidP="00637DF6">
            <w:pPr>
              <w:jc w:val="center"/>
            </w:pPr>
            <w:r w:rsidRPr="004D0CC0">
              <w:t>Effectuer un calcul et proposer un résultat après analyse</w:t>
            </w:r>
            <w:r>
              <w:t>, une méthode.</w:t>
            </w:r>
          </w:p>
        </w:tc>
      </w:tr>
    </w:tbl>
    <w:p w:rsidR="00A27B99" w:rsidRDefault="00A27B99" w:rsidP="00FF6946">
      <w:pPr>
        <w:rPr>
          <w:i/>
          <w:iCs/>
        </w:rPr>
      </w:pPr>
    </w:p>
    <w:p w:rsidR="00A27B99" w:rsidRPr="00FF6946" w:rsidRDefault="00A27B99" w:rsidP="00FF6946">
      <w:pPr>
        <w:rPr>
          <w:i/>
          <w:iCs/>
        </w:rPr>
      </w:pPr>
      <w:r w:rsidRPr="00FF6946">
        <w:rPr>
          <w:i/>
          <w:iCs/>
        </w:rPr>
        <w:t>La clarté des raisonnements et la qualité de la rédaction interviendront  dans l’appréciation des copies.</w:t>
      </w:r>
    </w:p>
    <w:p w:rsidR="00A27B99" w:rsidRPr="00FF6946" w:rsidRDefault="00A27B99" w:rsidP="00FF6946">
      <w:pPr>
        <w:pStyle w:val="BodyText"/>
        <w:rPr>
          <w:sz w:val="22"/>
          <w:szCs w:val="22"/>
        </w:rPr>
      </w:pPr>
      <w:r w:rsidRPr="00FF6946">
        <w:rPr>
          <w:sz w:val="22"/>
          <w:szCs w:val="22"/>
        </w:rPr>
        <w:t>L’usage des calculatrices alphanumériques  ou à écran graphique est autorisé à condition que leur fonctionnement soit autonome (circulaire N°99-186 du 16-11-1999).</w:t>
      </w:r>
    </w:p>
    <w:p w:rsidR="00A27B99" w:rsidRPr="00FF6946" w:rsidRDefault="00A27B99" w:rsidP="00FF6946">
      <w:pPr>
        <w:pStyle w:val="BodyText"/>
        <w:rPr>
          <w:sz w:val="22"/>
          <w:szCs w:val="22"/>
        </w:rPr>
      </w:pPr>
    </w:p>
    <w:p w:rsidR="00A27B99" w:rsidRPr="00FF6946" w:rsidRDefault="00A27B99" w:rsidP="00FF6946">
      <w:pPr>
        <w:rPr>
          <w:i/>
          <w:iCs/>
        </w:rPr>
      </w:pPr>
      <w:r w:rsidRPr="00FF6946">
        <w:rPr>
          <w:i/>
          <w:iCs/>
        </w:rPr>
        <w:t>L’usage du formulaire officiel de mathématiques est autorisé.</w:t>
      </w:r>
    </w:p>
    <w:p w:rsidR="00A27B99" w:rsidRPr="00FF6946" w:rsidRDefault="00A27B99" w:rsidP="00FF6946">
      <w:pPr>
        <w:rPr>
          <w:i/>
          <w:iCs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75pt;margin-top:5.75pt;width:62.9pt;height:52.9pt;z-index:251659264" strokecolor="white">
            <v:textbox>
              <w:txbxContent>
                <w:p w:rsidR="00A27B99" w:rsidRDefault="00A27B99">
                  <w:r w:rsidRPr="00CD16CE">
                    <w:rPr>
                      <w:noProof/>
                      <w:lang w:eastAsia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i1028" type="#_x0000_t75" style="width:45pt;height:4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A27B99" w:rsidRDefault="00A27B99" w:rsidP="00FF6946">
      <w:pPr>
        <w:rPr>
          <w:i/>
          <w:iCs/>
        </w:rPr>
      </w:pPr>
      <w:r>
        <w:rPr>
          <w:i/>
          <w:iCs/>
        </w:rPr>
        <w:t xml:space="preserve">                             </w:t>
      </w:r>
      <w:r w:rsidRPr="00FF6946">
        <w:rPr>
          <w:i/>
          <w:iCs/>
        </w:rPr>
        <w:t>Dans la suite du document, ce symbole sign</w:t>
      </w:r>
      <w:r>
        <w:rPr>
          <w:i/>
          <w:iCs/>
        </w:rPr>
        <w:t>ifie  «</w:t>
      </w:r>
      <w:r w:rsidRPr="00FF6946">
        <w:rPr>
          <w:i/>
          <w:iCs/>
        </w:rPr>
        <w:t>appeler le professeur</w:t>
      </w:r>
      <w:r>
        <w:rPr>
          <w:i/>
          <w:iCs/>
        </w:rPr>
        <w:t> »</w:t>
      </w:r>
      <w:r w:rsidRPr="00FF6946">
        <w:rPr>
          <w:i/>
          <w:iCs/>
        </w:rPr>
        <w:t xml:space="preserve"> </w:t>
      </w:r>
    </w:p>
    <w:p w:rsidR="00A27B99" w:rsidRDefault="00A27B99" w:rsidP="00FF6946">
      <w:r>
        <w:rPr>
          <w:noProof/>
          <w:lang w:eastAsia="fr-FR"/>
        </w:rPr>
        <w:pict>
          <v:shape id="_x0000_s1027" type="#_x0000_t202" style="position:absolute;margin-left:270.3pt;margin-top:7.75pt;width:174.75pt;height:63pt;z-index:251658240">
            <v:textbox style="mso-next-textbox:#_x0000_s1027">
              <w:txbxContent>
                <w:p w:rsidR="00A27B99" w:rsidRDefault="00A27B99" w:rsidP="00FF6946">
                  <w:pPr>
                    <w:rPr>
                      <w:rFonts w:ascii="Comic Sans MS" w:hAnsi="Comic Sans MS"/>
                    </w:rPr>
                  </w:pPr>
                </w:p>
                <w:p w:rsidR="00A27B99" w:rsidRPr="00CF0D4E" w:rsidRDefault="00A27B99" w:rsidP="00FF6946">
                  <w:pPr>
                    <w:rPr>
                      <w:i/>
                      <w:iCs/>
                      <w:sz w:val="36"/>
                      <w:szCs w:val="36"/>
                    </w:rPr>
                  </w:pPr>
                  <w:r w:rsidRPr="00CF0D4E">
                    <w:rPr>
                      <w:b/>
                      <w:bCs/>
                      <w:sz w:val="36"/>
                      <w:szCs w:val="36"/>
                    </w:rPr>
                    <w:t>NOTE</w:t>
                  </w:r>
                  <w:r w:rsidRPr="00CF0D4E">
                    <w:rPr>
                      <w:i/>
                      <w:iCs/>
                      <w:sz w:val="36"/>
                      <w:szCs w:val="36"/>
                    </w:rPr>
                    <w:t> </w:t>
                  </w:r>
                  <w:r w:rsidRPr="00CF0D4E">
                    <w:rPr>
                      <w:sz w:val="36"/>
                      <w:szCs w:val="36"/>
                    </w:rPr>
                    <w:t>:          / 10</w:t>
                  </w:r>
                </w:p>
              </w:txbxContent>
            </v:textbox>
          </v:shape>
        </w:pict>
      </w:r>
    </w:p>
    <w:p w:rsidR="00A27B99" w:rsidRPr="00CF0D4E" w:rsidRDefault="00A27B99" w:rsidP="00CF0D4E">
      <w:r>
        <w:rPr>
          <w:noProof/>
          <w:lang w:eastAsia="fr-FR"/>
        </w:rPr>
        <w:pict>
          <v:shape id="_x0000_s1028" type="#_x0000_t202" style="position:absolute;margin-left:367.55pt;margin-top:-83.1pt;width:90.2pt;height:138.65pt;z-index:251656192" strokecolor="white">
            <v:textbox style="mso-next-textbox:#_x0000_s1028;mso-fit-shape-to-text:t">
              <w:txbxContent>
                <w:p w:rsidR="00A27B99" w:rsidRDefault="00A27B99">
                  <w:r w:rsidRPr="00CD16CE">
                    <w:rPr>
                      <w:noProof/>
                      <w:lang w:eastAsia="fr-FR"/>
                    </w:rPr>
                    <w:pict>
                      <v:shape id="Image 112" o:spid="_x0000_i1030" type="#_x0000_t75" style="width:69.75pt;height:70.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-12.35pt;margin-top:-83.55pt;width:91.35pt;height:83.85pt;z-index:251655168" strokecolor="white">
            <v:textbox style="mso-next-textbox:#_x0000_s1029">
              <w:txbxContent>
                <w:p w:rsidR="00A27B99" w:rsidRDefault="00A27B99">
                  <w:r w:rsidRPr="00CD16CE">
                    <w:rPr>
                      <w:noProof/>
                      <w:lang w:eastAsia="fr-FR"/>
                    </w:rPr>
                    <w:pict>
                      <v:shape id="Image 100" o:spid="_x0000_i1032" type="#_x0000_t75" style="width:70.5pt;height:70.5pt;visibility:visible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85.25pt;margin-top:-64.65pt;width:282.1pt;height:134.4pt;z-index:251660288" fillcolor="#4f81bd" strokecolor="#f2f2f2" strokeweight="3pt">
            <v:shadow on="t" type="perspective" color="#243f60" opacity=".5" offset="1pt" offset2="-1pt"/>
            <v:textbox style="mso-next-textbox:#_x0000_s1030;mso-fit-shape-to-text:t">
              <w:txbxContent>
                <w:p w:rsidR="00A27B99" w:rsidRPr="00580FF0" w:rsidRDefault="00A27B99" w:rsidP="00320940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580FF0">
                    <w:rPr>
                      <w:rFonts w:ascii="Cambria" w:hAnsi="Cambria"/>
                      <w:sz w:val="28"/>
                      <w:szCs w:val="28"/>
                    </w:rPr>
                    <w:t>CONTRATS D’EMBAUCHE</w:t>
                  </w:r>
                </w:p>
              </w:txbxContent>
            </v:textbox>
          </v:shape>
        </w:pict>
      </w:r>
      <w:r w:rsidRPr="005129CF">
        <w:rPr>
          <w:i/>
        </w:rPr>
        <w:t>L’objectif de cette séquence est de comparer deux contrats d’embauche.</w:t>
      </w:r>
    </w:p>
    <w:p w:rsidR="00A27B99" w:rsidRPr="00E04DD0" w:rsidRDefault="00A27B99" w:rsidP="008A40BC">
      <w:pPr>
        <w:spacing w:line="240" w:lineRule="auto"/>
      </w:pPr>
      <w:r>
        <w:t xml:space="preserve">L’entreprise </w:t>
      </w:r>
      <w:r w:rsidRPr="008259C3">
        <w:rPr>
          <w:i/>
        </w:rPr>
        <w:t xml:space="preserve">Maintendue </w:t>
      </w:r>
      <w:r>
        <w:t xml:space="preserve"> offre à </w:t>
      </w:r>
      <w:r w:rsidRPr="008259C3">
        <w:rPr>
          <w:b/>
        </w:rPr>
        <w:t>Camille</w:t>
      </w:r>
      <w:r>
        <w:t xml:space="preserve"> un salaire brut mensuel de 1350 euros la première année puis 50 euros d’augmentation par an. L’entreprise </w:t>
      </w:r>
      <w:r w:rsidRPr="008259C3">
        <w:rPr>
          <w:i/>
        </w:rPr>
        <w:t>Toutentoc</w:t>
      </w:r>
      <w:r>
        <w:t xml:space="preserve">  offre à </w:t>
      </w:r>
      <w:r w:rsidRPr="008259C3">
        <w:rPr>
          <w:b/>
        </w:rPr>
        <w:t>Pierre-Louis</w:t>
      </w:r>
      <w:r>
        <w:t xml:space="preserve"> le même salaire brut mensuel de  1350 euros la première année puis une augmentation de 3,5% par an. Ils sont embauchés tous les deux le 1</w:t>
      </w:r>
      <w:r>
        <w:rPr>
          <w:vertAlign w:val="superscript"/>
        </w:rPr>
        <w:t>er</w:t>
      </w:r>
      <w:r>
        <w:t xml:space="preserve"> janvier 2010.</w:t>
      </w:r>
    </w:p>
    <w:p w:rsidR="00A27B99" w:rsidRDefault="00A27B99" w:rsidP="008A40BC">
      <w:pPr>
        <w:spacing w:line="240" w:lineRule="auto"/>
      </w:pPr>
      <w:r>
        <w:t>Pierre-Louis  dit à Camille : « Très vite, je gagnerai plus que toi ! ».</w:t>
      </w:r>
    </w:p>
    <w:p w:rsidR="00A27B99" w:rsidRDefault="00A27B99" w:rsidP="008220C8">
      <w:pPr>
        <w:framePr w:hSpace="141" w:wrap="around" w:vAnchor="text" w:hAnchor="page" w:x="558" w:y="278"/>
        <w:jc w:val="both"/>
      </w:pPr>
      <w:r>
        <w:object w:dxaOrig="4281" w:dyaOrig="4281">
          <v:shape id="_x0000_i1033" type="#_x0000_t75" style="width:38.25pt;height:40.5pt" o:ole="">
            <v:imagedata r:id="rId10" o:title=""/>
          </v:shape>
          <o:OLEObject Type="Embed" ProgID="Designer" ShapeID="_x0000_i1033" DrawAspect="Content" ObjectID="_1358095001" r:id="rId11"/>
        </w:object>
      </w:r>
    </w:p>
    <w:p w:rsidR="00A27B99" w:rsidRDefault="00A27B99">
      <w:r w:rsidRPr="001D1CB5">
        <w:rPr>
          <w:b/>
        </w:rPr>
        <w:t>I.</w:t>
      </w:r>
      <w:r>
        <w:t xml:space="preserve">  </w:t>
      </w:r>
      <w:r w:rsidRPr="001D1CB5">
        <w:rPr>
          <w:b/>
        </w:rPr>
        <w:t>Salaires de Camille et Pierre-Louis</w:t>
      </w:r>
      <w:r>
        <w:rPr>
          <w:b/>
        </w:rPr>
        <w:t xml:space="preserve"> en 2011</w:t>
      </w:r>
    </w:p>
    <w:p w:rsidR="00A27B99" w:rsidRDefault="00A27B99" w:rsidP="00A678B3">
      <w:pPr>
        <w:numPr>
          <w:ilvl w:val="0"/>
          <w:numId w:val="1"/>
        </w:numPr>
      </w:pPr>
      <w:r>
        <w:t>Proposer une méthode pour vérifier le propos de Pierre-Louis.</w:t>
      </w:r>
    </w:p>
    <w:p w:rsidR="00A27B99" w:rsidRDefault="00A27B99" w:rsidP="00A678B3">
      <w:pPr>
        <w:numPr>
          <w:ilvl w:val="0"/>
          <w:numId w:val="1"/>
        </w:numPr>
      </w:pPr>
      <w:r>
        <w:t xml:space="preserve">Quel sera le salaire </w:t>
      </w:r>
      <w:r w:rsidRPr="00E04DD0">
        <w:t>de</w:t>
      </w:r>
      <w:r>
        <w:t xml:space="preserve"> Camille en 2011 ?</w:t>
      </w:r>
    </w:p>
    <w:p w:rsidR="00A27B99" w:rsidRDefault="00A27B99" w:rsidP="008259C3">
      <w:pPr>
        <w:ind w:left="720"/>
      </w:pPr>
      <w:r>
        <w:t>…………………………………………………………………………………………………………………………..</w:t>
      </w:r>
    </w:p>
    <w:p w:rsidR="00A27B99" w:rsidRDefault="00A27B99" w:rsidP="008259C3">
      <w:pPr>
        <w:numPr>
          <w:ilvl w:val="0"/>
          <w:numId w:val="1"/>
        </w:numPr>
      </w:pPr>
      <w:r>
        <w:t>Calculer le salaire de Pierre-Louis en 2011. Présenter votre résultat en euros à 0,01.</w:t>
      </w:r>
    </w:p>
    <w:p w:rsidR="00A27B99" w:rsidRDefault="00A27B99" w:rsidP="008259C3">
      <w:pPr>
        <w:ind w:left="720"/>
      </w:pPr>
      <w:r>
        <w:t>…………………………………………………………………………………………………………………………..</w:t>
      </w:r>
    </w:p>
    <w:p w:rsidR="00A27B99" w:rsidRDefault="00A27B99" w:rsidP="008259C3">
      <w:pPr>
        <w:ind w:left="720"/>
      </w:pPr>
      <w:r>
        <w:t>…………………………………………………………………………………………………………………………..</w:t>
      </w:r>
    </w:p>
    <w:p w:rsidR="00A27B99" w:rsidRPr="001D1CB5" w:rsidRDefault="00A27B99" w:rsidP="009B590D">
      <w:pPr>
        <w:rPr>
          <w:b/>
        </w:rPr>
      </w:pPr>
      <w:r w:rsidRPr="001D1CB5">
        <w:rPr>
          <w:b/>
        </w:rPr>
        <w:t>II.  Contrat de Camille</w:t>
      </w:r>
    </w:p>
    <w:p w:rsidR="00A27B99" w:rsidRDefault="00A27B99" w:rsidP="009B590D">
      <w:r>
        <w:t xml:space="preserve">On note </w:t>
      </w:r>
      <w:r w:rsidRPr="00322132">
        <w:rPr>
          <w:i/>
        </w:rPr>
        <w:t>u</w:t>
      </w:r>
      <w:r>
        <w:rPr>
          <w:vertAlign w:val="subscript"/>
        </w:rPr>
        <w:t>1</w:t>
      </w:r>
      <w:r>
        <w:t>,</w:t>
      </w:r>
      <w:r w:rsidRPr="00322132">
        <w:rPr>
          <w:i/>
        </w:rPr>
        <w:t>u</w:t>
      </w:r>
      <w:r>
        <w:rPr>
          <w:vertAlign w:val="subscript"/>
        </w:rPr>
        <w:t>2</w:t>
      </w:r>
      <w:r>
        <w:t xml:space="preserve"> et </w:t>
      </w:r>
      <w:r w:rsidRPr="00322132">
        <w:rPr>
          <w:i/>
        </w:rPr>
        <w:t>u</w:t>
      </w:r>
      <w:r>
        <w:rPr>
          <w:vertAlign w:val="subscript"/>
        </w:rPr>
        <w:t>3</w:t>
      </w:r>
      <w:r>
        <w:t xml:space="preserve"> … les salaires en 2010, 2011 et 2012 … de Camille.</w:t>
      </w:r>
    </w:p>
    <w:p w:rsidR="00A27B99" w:rsidRDefault="00A27B99" w:rsidP="009B590D">
      <w:pPr>
        <w:numPr>
          <w:ilvl w:val="0"/>
          <w:numId w:val="4"/>
        </w:numPr>
      </w:pPr>
      <w:r>
        <w:t xml:space="preserve">Quelle est la nature de la suite </w:t>
      </w:r>
      <w:r w:rsidRPr="00322132">
        <w:rPr>
          <w:i/>
        </w:rPr>
        <w:t>u</w:t>
      </w:r>
      <w:r>
        <w:rPr>
          <w:vertAlign w:val="subscript"/>
        </w:rPr>
        <w:t>n </w:t>
      </w:r>
      <w:r>
        <w:t>? Justifier votre réponse.</w:t>
      </w:r>
    </w:p>
    <w:p w:rsidR="00A27B99" w:rsidRDefault="00A27B99" w:rsidP="001D1CB5">
      <w:pPr>
        <w:ind w:left="720"/>
      </w:pPr>
      <w:r>
        <w:t>…………………………………………………………………………………………………………………………..</w:t>
      </w:r>
    </w:p>
    <w:p w:rsidR="00A27B99" w:rsidRDefault="00A27B99" w:rsidP="001D1CB5">
      <w:pPr>
        <w:ind w:left="720"/>
      </w:pPr>
      <w:r>
        <w:t>…………………………………………………………………………………………………………………………..</w:t>
      </w:r>
    </w:p>
    <w:p w:rsidR="00A27B99" w:rsidRDefault="00A27B99" w:rsidP="009B590D">
      <w:pPr>
        <w:numPr>
          <w:ilvl w:val="0"/>
          <w:numId w:val="4"/>
        </w:numPr>
      </w:pPr>
      <w:r>
        <w:t>Quelle est sa raison ?</w:t>
      </w:r>
    </w:p>
    <w:p w:rsidR="00A27B99" w:rsidRDefault="00A27B99" w:rsidP="001D1CB5">
      <w:pPr>
        <w:ind w:left="720"/>
      </w:pPr>
      <w:r>
        <w:t>…………………………………………………………………………………………………………………………..</w:t>
      </w:r>
    </w:p>
    <w:p w:rsidR="00A27B99" w:rsidRDefault="00A27B99" w:rsidP="009B590D">
      <w:pPr>
        <w:numPr>
          <w:ilvl w:val="0"/>
          <w:numId w:val="4"/>
        </w:numPr>
      </w:pPr>
      <w:r>
        <w:t xml:space="preserve">Exprimer d’une manière générale </w:t>
      </w:r>
      <w:r w:rsidRPr="00322132">
        <w:rPr>
          <w:i/>
        </w:rPr>
        <w:t>u</w:t>
      </w:r>
      <w:r>
        <w:rPr>
          <w:vertAlign w:val="subscript"/>
        </w:rPr>
        <w:t>n+1</w:t>
      </w:r>
      <w:r>
        <w:t xml:space="preserve"> en fonction de </w:t>
      </w:r>
      <w:r w:rsidRPr="00322132">
        <w:rPr>
          <w:i/>
        </w:rPr>
        <w:t>u</w:t>
      </w:r>
      <w:r>
        <w:rPr>
          <w:vertAlign w:val="subscript"/>
        </w:rPr>
        <w:t>n</w:t>
      </w:r>
      <w:r>
        <w:t>.</w:t>
      </w:r>
    </w:p>
    <w:p w:rsidR="00A27B99" w:rsidRDefault="00A27B99" w:rsidP="002C22A8">
      <w:pPr>
        <w:ind w:left="720"/>
      </w:pPr>
      <w:r>
        <w:t>…………………………………………………………………………………………………………………………..</w:t>
      </w:r>
    </w:p>
    <w:p w:rsidR="00A27B99" w:rsidRPr="001D1CB5" w:rsidRDefault="00A27B99" w:rsidP="008C400A">
      <w:pPr>
        <w:rPr>
          <w:b/>
        </w:rPr>
      </w:pPr>
      <w:r>
        <w:rPr>
          <w:b/>
        </w:rPr>
        <w:t>III</w:t>
      </w:r>
      <w:r w:rsidRPr="001D1CB5">
        <w:rPr>
          <w:b/>
        </w:rPr>
        <w:t xml:space="preserve">. </w:t>
      </w:r>
      <w:r>
        <w:rPr>
          <w:b/>
        </w:rPr>
        <w:t xml:space="preserve"> </w:t>
      </w:r>
      <w:r w:rsidRPr="001D1CB5">
        <w:rPr>
          <w:b/>
        </w:rPr>
        <w:t>Contrat de Pierre Louis</w:t>
      </w:r>
    </w:p>
    <w:p w:rsidR="00A27B99" w:rsidRDefault="00A27B99" w:rsidP="008C400A">
      <w:r>
        <w:t xml:space="preserve">On note </w:t>
      </w:r>
      <w:r w:rsidRPr="00322132">
        <w:rPr>
          <w:i/>
        </w:rPr>
        <w:t>u</w:t>
      </w:r>
      <w:r>
        <w:t>’</w:t>
      </w:r>
      <w:r>
        <w:rPr>
          <w:vertAlign w:val="subscript"/>
        </w:rPr>
        <w:t>1</w:t>
      </w:r>
      <w:r>
        <w:t xml:space="preserve">, </w:t>
      </w:r>
      <w:r w:rsidRPr="00322132">
        <w:rPr>
          <w:i/>
        </w:rPr>
        <w:t>u</w:t>
      </w:r>
      <w:r>
        <w:t>’</w:t>
      </w:r>
      <w:r>
        <w:rPr>
          <w:vertAlign w:val="subscript"/>
        </w:rPr>
        <w:t>2</w:t>
      </w:r>
      <w:r>
        <w:t xml:space="preserve"> et </w:t>
      </w:r>
      <w:r w:rsidRPr="00322132">
        <w:rPr>
          <w:i/>
        </w:rPr>
        <w:t>u</w:t>
      </w:r>
      <w:r>
        <w:t>’</w:t>
      </w:r>
      <w:r>
        <w:rPr>
          <w:vertAlign w:val="subscript"/>
        </w:rPr>
        <w:t xml:space="preserve">3 </w:t>
      </w:r>
      <w:r>
        <w:t>… les salaires en 2010, 2011 et 2012 … de Pierre-Louis.</w:t>
      </w:r>
    </w:p>
    <w:p w:rsidR="00A27B99" w:rsidRDefault="00A27B99" w:rsidP="008C400A">
      <w:pPr>
        <w:numPr>
          <w:ilvl w:val="0"/>
          <w:numId w:val="5"/>
        </w:numPr>
      </w:pPr>
      <w:r>
        <w:t>Cette suite numérique constitue une suite géométrique. Quelle est sa raison ?</w:t>
      </w:r>
    </w:p>
    <w:p w:rsidR="00A27B99" w:rsidRDefault="00A27B99" w:rsidP="001D1CB5">
      <w:pPr>
        <w:ind w:left="720"/>
      </w:pPr>
      <w:r>
        <w:t>…………………………………………………………………………………………………………………………..</w:t>
      </w:r>
    </w:p>
    <w:p w:rsidR="00A27B99" w:rsidRDefault="00A27B99" w:rsidP="008C400A">
      <w:pPr>
        <w:numPr>
          <w:ilvl w:val="0"/>
          <w:numId w:val="5"/>
        </w:numPr>
      </w:pPr>
      <w:r>
        <w:t xml:space="preserve">Exprimer d’une manière générale </w:t>
      </w:r>
      <w:r w:rsidRPr="00322132">
        <w:rPr>
          <w:i/>
        </w:rPr>
        <w:t>u</w:t>
      </w:r>
      <w:r>
        <w:t>’</w:t>
      </w:r>
      <w:r>
        <w:rPr>
          <w:vertAlign w:val="subscript"/>
        </w:rPr>
        <w:t>n+1</w:t>
      </w:r>
      <w:r>
        <w:t xml:space="preserve"> en fonction de </w:t>
      </w:r>
      <w:r w:rsidRPr="00322132">
        <w:rPr>
          <w:i/>
        </w:rPr>
        <w:t>u</w:t>
      </w:r>
      <w:r>
        <w:t>’</w:t>
      </w:r>
      <w:r>
        <w:rPr>
          <w:vertAlign w:val="subscript"/>
        </w:rPr>
        <w:t>n</w:t>
      </w:r>
      <w:r>
        <w:t>.</w:t>
      </w:r>
    </w:p>
    <w:p w:rsidR="00A27B99" w:rsidRDefault="00A27B99" w:rsidP="00BC5230">
      <w:r>
        <w:t xml:space="preserve">   …………………………………………………………………………………………………………………………..</w:t>
      </w:r>
    </w:p>
    <w:p w:rsidR="00A27B99" w:rsidRPr="001D1CB5" w:rsidRDefault="00A27B99" w:rsidP="00643697">
      <w:pPr>
        <w:rPr>
          <w:b/>
        </w:rPr>
      </w:pPr>
      <w:r>
        <w:rPr>
          <w:b/>
        </w:rPr>
        <w:t>IV</w:t>
      </w:r>
      <w:r w:rsidRPr="001D1CB5">
        <w:rPr>
          <w:b/>
        </w:rPr>
        <w:t xml:space="preserve">. </w:t>
      </w:r>
      <w:r>
        <w:rPr>
          <w:b/>
        </w:rPr>
        <w:t xml:space="preserve"> </w:t>
      </w:r>
      <w:r w:rsidRPr="001D1CB5">
        <w:rPr>
          <w:b/>
        </w:rPr>
        <w:t>Salaires de Camille et Pierre-Louis jusqu’en 2020</w:t>
      </w:r>
    </w:p>
    <w:p w:rsidR="00A27B99" w:rsidRDefault="00A27B99" w:rsidP="00643697">
      <w:pPr>
        <w:numPr>
          <w:ilvl w:val="0"/>
          <w:numId w:val="2"/>
        </w:numPr>
      </w:pPr>
      <w:r>
        <w:t>Recopier le tableau ci-dessous dans une feuille de calcul Excel.</w:t>
      </w:r>
    </w:p>
    <w:p w:rsidR="00A27B99" w:rsidRDefault="00A27B99" w:rsidP="00643697">
      <w:pPr>
        <w:ind w:left="720"/>
      </w:pPr>
      <w:r>
        <w:rPr>
          <w:noProof/>
          <w:lang w:eastAsia="fr-FR"/>
        </w:rPr>
        <w:pict>
          <v:shape id="_x0000_s1031" type="#_x0000_t202" style="position:absolute;left:0;text-align:left;margin-left:199.1pt;margin-top:206.8pt;width:54.05pt;height:19.45pt;z-index:251657216">
            <v:textbox style="mso-next-textbox:#_x0000_s1031">
              <w:txbxContent>
                <w:p w:rsidR="00A27B99" w:rsidRDefault="00A27B99">
                  <w:r>
                    <w:t>= B2+50</w:t>
                  </w:r>
                </w:p>
              </w:txbxContent>
            </v:textbox>
          </v:shape>
        </w:pict>
      </w:r>
      <w:r w:rsidRPr="00CD16CE">
        <w:rPr>
          <w:noProof/>
          <w:lang w:eastAsia="fr-FR"/>
        </w:rPr>
        <w:pict>
          <v:shape id="Image 37" o:spid="_x0000_i1034" type="#_x0000_t75" style="width:282.75pt;height:196.5pt;visibility:visible">
            <v:imagedata r:id="rId12" o:title=""/>
          </v:shape>
        </w:pict>
      </w:r>
    </w:p>
    <w:p w:rsidR="00A27B99" w:rsidRDefault="00A27B99" w:rsidP="00643697">
      <w:pPr>
        <w:numPr>
          <w:ilvl w:val="0"/>
          <w:numId w:val="2"/>
        </w:numPr>
      </w:pPr>
      <w:r>
        <w:t>Entrer dans la cellule B3 la formule                             et l’étendre avec la poignée de remplissage jusqu’à la cellule B12.</w:t>
      </w:r>
    </w:p>
    <w:p w:rsidR="00A27B99" w:rsidRDefault="00A27B99" w:rsidP="000D105B">
      <w:pPr>
        <w:framePr w:hSpace="141" w:wrap="around" w:vAnchor="text" w:hAnchor="page" w:x="445" w:y="279"/>
        <w:jc w:val="both"/>
      </w:pPr>
      <w:r>
        <w:object w:dxaOrig="4281" w:dyaOrig="4281">
          <v:shape id="_x0000_i1035" type="#_x0000_t75" style="width:38.25pt;height:40.5pt" o:ole="">
            <v:imagedata r:id="rId10" o:title=""/>
          </v:shape>
          <o:OLEObject Type="Embed" ProgID="Designer" ShapeID="_x0000_i1035" DrawAspect="Content" ObjectID="_1358095002" r:id="rId13"/>
        </w:object>
      </w:r>
    </w:p>
    <w:p w:rsidR="00A27B99" w:rsidRDefault="00A27B99" w:rsidP="00643697">
      <w:pPr>
        <w:numPr>
          <w:ilvl w:val="0"/>
          <w:numId w:val="2"/>
        </w:numPr>
      </w:pPr>
      <w:r>
        <w:t>Utiliser la bonne formule  dans la cellule C3 pour obtenir la colonne « Salaire de Pierre-Louis » complétée jusqu’à la cellule C12.</w:t>
      </w:r>
    </w:p>
    <w:p w:rsidR="00A27B99" w:rsidRDefault="00A27B99" w:rsidP="00643697">
      <w:pPr>
        <w:ind w:left="720"/>
      </w:pPr>
      <w:r>
        <w:t>…………………………………………………………………………………………………………………………..</w:t>
      </w:r>
    </w:p>
    <w:p w:rsidR="00A27B99" w:rsidRPr="008C400A" w:rsidRDefault="00A27B99" w:rsidP="00322132">
      <w:pPr>
        <w:ind w:left="720"/>
      </w:pPr>
    </w:p>
    <w:p w:rsidR="00A27B99" w:rsidRDefault="00A27B99" w:rsidP="00643697">
      <w:pPr>
        <w:pStyle w:val="ListParagraph"/>
        <w:numPr>
          <w:ilvl w:val="0"/>
          <w:numId w:val="2"/>
        </w:numPr>
      </w:pPr>
      <w:r>
        <w:t>A l’aide du tableur, indiquer l’année à partir de laquelle le salaire de Pierre-Louis sera supérieur à celui de Camille.</w:t>
      </w:r>
    </w:p>
    <w:p w:rsidR="00A27B99" w:rsidRDefault="00A27B99" w:rsidP="00222070">
      <w:pPr>
        <w:ind w:left="720"/>
      </w:pPr>
      <w:r>
        <w:t>…………………………………………………………………………………………………………………………..</w:t>
      </w:r>
    </w:p>
    <w:p w:rsidR="00A27B99" w:rsidRDefault="00A27B99" w:rsidP="00222070">
      <w:pPr>
        <w:ind w:left="720"/>
      </w:pPr>
    </w:p>
    <w:p w:rsidR="00A27B99" w:rsidRDefault="00A27B99" w:rsidP="00C04608">
      <w:pPr>
        <w:framePr w:hSpace="141" w:wrap="around" w:vAnchor="text" w:hAnchor="page" w:x="730" w:y="463"/>
        <w:jc w:val="both"/>
      </w:pPr>
      <w:r>
        <w:object w:dxaOrig="4281" w:dyaOrig="4281">
          <v:shape id="_x0000_i1036" type="#_x0000_t75" style="width:38.25pt;height:40.5pt" o:ole="">
            <v:imagedata r:id="rId10" o:title=""/>
          </v:shape>
          <o:OLEObject Type="Embed" ProgID="Designer" ShapeID="_x0000_i1036" DrawAspect="Content" ObjectID="_1358095003" r:id="rId14"/>
        </w:object>
      </w:r>
    </w:p>
    <w:p w:rsidR="00A27B99" w:rsidRPr="001D1CB5" w:rsidRDefault="00A27B99" w:rsidP="00513609">
      <w:pPr>
        <w:rPr>
          <w:b/>
        </w:rPr>
      </w:pPr>
      <w:r w:rsidRPr="001D1CB5">
        <w:rPr>
          <w:b/>
        </w:rPr>
        <w:t>V.  Comparaison à l’aide d’une représentation graphique</w:t>
      </w:r>
    </w:p>
    <w:p w:rsidR="00A27B99" w:rsidRDefault="00A27B99" w:rsidP="00DA4C6D">
      <w:pPr>
        <w:ind w:left="426"/>
      </w:pPr>
      <w:r>
        <w:rPr>
          <w:noProof/>
          <w:lang w:eastAsia="fr-FR"/>
        </w:rPr>
        <w:pict>
          <v:shape id="_x0000_s1032" type="#_x0000_t202" style="position:absolute;left:0;text-align:left;margin-left:58.55pt;margin-top:33.7pt;width:295.15pt;height:76.75pt;z-index:251654144" strokecolor="white">
            <v:textbox>
              <w:txbxContent>
                <w:p w:rsidR="00A27B99" w:rsidRDefault="00A27B99">
                  <w:r w:rsidRPr="00CD16CE">
                    <w:rPr>
                      <w:noProof/>
                      <w:lang w:eastAsia="fr-FR"/>
                    </w:rPr>
                    <w:pict>
                      <v:shape id="Image 39" o:spid="_x0000_i1038" type="#_x0000_t75" style="width:273pt;height:67.5pt;visibility:visible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  <w:r>
        <w:t xml:space="preserve">    Sélectionner  la plage de B1 à C12 puis utiliser l’assistant graphique et choisir « Ligne » pour         effectuer la représentation graphique des suites </w:t>
      </w:r>
      <w:r w:rsidRPr="00322132">
        <w:rPr>
          <w:i/>
        </w:rPr>
        <w:t>u</w:t>
      </w:r>
      <w:r>
        <w:rPr>
          <w:vertAlign w:val="subscript"/>
        </w:rPr>
        <w:t>n</w:t>
      </w:r>
      <w:r>
        <w:t xml:space="preserve"> et </w:t>
      </w:r>
      <w:r w:rsidRPr="00322132">
        <w:rPr>
          <w:i/>
        </w:rPr>
        <w:t>u</w:t>
      </w:r>
      <w:r>
        <w:t>’</w:t>
      </w:r>
      <w:r>
        <w:rPr>
          <w:vertAlign w:val="subscript"/>
        </w:rPr>
        <w:t>n</w:t>
      </w:r>
      <w:r>
        <w:t xml:space="preserve">. </w:t>
      </w:r>
    </w:p>
    <w:p w:rsidR="00A27B99" w:rsidRDefault="00A27B99" w:rsidP="00DA4C6D">
      <w:pPr>
        <w:ind w:left="426"/>
      </w:pPr>
    </w:p>
    <w:p w:rsidR="00A27B99" w:rsidRDefault="00A27B99" w:rsidP="00DA4C6D">
      <w:pPr>
        <w:ind w:left="426"/>
      </w:pPr>
    </w:p>
    <w:p w:rsidR="00A27B99" w:rsidRDefault="00A27B99" w:rsidP="00DA4C6D">
      <w:pPr>
        <w:ind w:left="426"/>
      </w:pPr>
    </w:p>
    <w:p w:rsidR="00A27B99" w:rsidRDefault="00A27B99" w:rsidP="008220C8">
      <w:pPr>
        <w:ind w:left="426"/>
      </w:pPr>
      <w:r>
        <w:rPr>
          <w:noProof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3" type="#_x0000_t65" style="position:absolute;left:0;text-align:left;margin-left:59.55pt;margin-top:688.45pt;width:325.9pt;height:37.5pt;z-index:251661312;mso-wrap-distance-top:7.2pt;mso-wrap-distance-bottom:7.2pt;mso-position-horizontal-relative:margin;mso-position-vertical-relative:margin" o:allowincell="f" fillcolor="#943634" strokecolor="white" strokeweight=".5pt">
            <v:fill opacity="51118f"/>
            <v:textbox style="mso-next-textbox:#_x0000_s1033" inset="10.8pt,7.2pt,10.8pt">
              <w:txbxContent>
                <w:p w:rsidR="00A27B99" w:rsidRDefault="00A27B99" w:rsidP="00163802">
                  <w:pPr>
                    <w:spacing w:after="0" w:line="240" w:lineRule="auto"/>
                    <w:rPr>
                      <w:rFonts w:ascii="Cambria" w:hAnsi="Cambria"/>
                      <w:i/>
                      <w:iCs/>
                      <w:color w:val="5A5A5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Sujet proposé par Laurent Saumande au 1 MEI du lycée Coulomb à Angoulême le 14 décembre 2010 .           </w:t>
                  </w:r>
                </w:p>
              </w:txbxContent>
            </v:textbox>
            <w10:wrap type="square" anchorx="margin" anchory="margin"/>
          </v:shape>
        </w:pict>
      </w:r>
      <w:r>
        <w:t xml:space="preserve">Retrouver le résultat de la question IV. 4.         </w:t>
      </w:r>
    </w:p>
    <w:p w:rsidR="00A27B99" w:rsidRDefault="00A27B99" w:rsidP="00AC395E"/>
    <w:p w:rsidR="00A27B99" w:rsidRDefault="00A27B99" w:rsidP="00AC395E"/>
    <w:p w:rsidR="00A27B99" w:rsidRPr="00763A22" w:rsidRDefault="00A27B99" w:rsidP="00AC395E">
      <w:r>
        <w:object w:dxaOrig="8926" w:dyaOrig="12631">
          <v:shape id="_x0000_i1039" type="#_x0000_t75" style="width:446.25pt;height:631.5pt" o:ole="">
            <v:imagedata r:id="rId16" o:title=""/>
          </v:shape>
          <o:OLEObject Type="Embed" ProgID="AcroExch.Document.7" ShapeID="_x0000_i1039" DrawAspect="Content" ObjectID="_1358095004" r:id="rId17"/>
        </w:object>
      </w:r>
    </w:p>
    <w:sectPr w:rsidR="00A27B99" w:rsidRPr="00763A22" w:rsidSect="00FF694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99" w:rsidRDefault="00A27B99" w:rsidP="00340B89">
      <w:pPr>
        <w:spacing w:after="0" w:line="240" w:lineRule="auto"/>
      </w:pPr>
      <w:r>
        <w:separator/>
      </w:r>
    </w:p>
  </w:endnote>
  <w:endnote w:type="continuationSeparator" w:id="0">
    <w:p w:rsidR="00A27B99" w:rsidRDefault="00A27B99" w:rsidP="0034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99" w:rsidRDefault="00A27B99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A27B99" w:rsidRDefault="00A27B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99" w:rsidRDefault="00A27B99" w:rsidP="00340B89">
      <w:pPr>
        <w:spacing w:after="0" w:line="240" w:lineRule="auto"/>
      </w:pPr>
      <w:r>
        <w:separator/>
      </w:r>
    </w:p>
  </w:footnote>
  <w:footnote w:type="continuationSeparator" w:id="0">
    <w:p w:rsidR="00A27B99" w:rsidRDefault="00A27B99" w:rsidP="0034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99" w:rsidRDefault="00A27B99">
    <w:pPr>
      <w:pStyle w:val="Header"/>
    </w:pPr>
  </w:p>
  <w:p w:rsidR="00A27B99" w:rsidRDefault="00A27B99">
    <w:pPr>
      <w:pStyle w:val="Header"/>
    </w:pPr>
    <w:r>
      <w:object w:dxaOrig="8926" w:dyaOrig="12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6.25pt;height:631.5pt" o:ole="">
          <v:imagedata r:id="rId1" o:title=""/>
        </v:shape>
        <o:OLEObject Type="Embed" ProgID="AcroExch.Document.7" ShapeID="_x0000_i1026" DrawAspect="Content" ObjectID="_135809500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1BF8"/>
    <w:multiLevelType w:val="hybridMultilevel"/>
    <w:tmpl w:val="DF4E75C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A5FB6"/>
    <w:multiLevelType w:val="hybridMultilevel"/>
    <w:tmpl w:val="74F697B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D20E93"/>
    <w:multiLevelType w:val="hybridMultilevel"/>
    <w:tmpl w:val="2004B67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D02D22"/>
    <w:multiLevelType w:val="hybridMultilevel"/>
    <w:tmpl w:val="ED8E231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A46235"/>
    <w:multiLevelType w:val="hybridMultilevel"/>
    <w:tmpl w:val="FE5473FE"/>
    <w:lvl w:ilvl="0" w:tplc="91D2B1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3F6093"/>
    <w:multiLevelType w:val="hybridMultilevel"/>
    <w:tmpl w:val="BEDECE8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667D14"/>
    <w:multiLevelType w:val="hybridMultilevel"/>
    <w:tmpl w:val="568813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038"/>
    <w:rsid w:val="000148BE"/>
    <w:rsid w:val="00020B92"/>
    <w:rsid w:val="000C3889"/>
    <w:rsid w:val="000D105B"/>
    <w:rsid w:val="000F1B7E"/>
    <w:rsid w:val="00153B9C"/>
    <w:rsid w:val="00163802"/>
    <w:rsid w:val="001A14C0"/>
    <w:rsid w:val="001D1CB5"/>
    <w:rsid w:val="002210A1"/>
    <w:rsid w:val="00222070"/>
    <w:rsid w:val="00245F28"/>
    <w:rsid w:val="00290B57"/>
    <w:rsid w:val="002A4A56"/>
    <w:rsid w:val="002C22A8"/>
    <w:rsid w:val="00320940"/>
    <w:rsid w:val="00322132"/>
    <w:rsid w:val="00340B89"/>
    <w:rsid w:val="0045338D"/>
    <w:rsid w:val="00453DE6"/>
    <w:rsid w:val="00472976"/>
    <w:rsid w:val="00473B8B"/>
    <w:rsid w:val="004B4643"/>
    <w:rsid w:val="004D0CC0"/>
    <w:rsid w:val="004D1CA8"/>
    <w:rsid w:val="004D616D"/>
    <w:rsid w:val="0050471D"/>
    <w:rsid w:val="00506197"/>
    <w:rsid w:val="005129CF"/>
    <w:rsid w:val="00513609"/>
    <w:rsid w:val="0056667C"/>
    <w:rsid w:val="00576F23"/>
    <w:rsid w:val="00580FF0"/>
    <w:rsid w:val="005F272F"/>
    <w:rsid w:val="00612C60"/>
    <w:rsid w:val="006349AB"/>
    <w:rsid w:val="00637DF6"/>
    <w:rsid w:val="00643697"/>
    <w:rsid w:val="006A3689"/>
    <w:rsid w:val="00726299"/>
    <w:rsid w:val="00736F98"/>
    <w:rsid w:val="00763A22"/>
    <w:rsid w:val="00795D07"/>
    <w:rsid w:val="007F6155"/>
    <w:rsid w:val="008116EC"/>
    <w:rsid w:val="008135F5"/>
    <w:rsid w:val="008220C8"/>
    <w:rsid w:val="008230E8"/>
    <w:rsid w:val="008259C3"/>
    <w:rsid w:val="008A35B0"/>
    <w:rsid w:val="008A40BC"/>
    <w:rsid w:val="008B7038"/>
    <w:rsid w:val="008C400A"/>
    <w:rsid w:val="008C62F1"/>
    <w:rsid w:val="00915233"/>
    <w:rsid w:val="0093036B"/>
    <w:rsid w:val="009A0489"/>
    <w:rsid w:val="009B590D"/>
    <w:rsid w:val="009E4764"/>
    <w:rsid w:val="009E55FC"/>
    <w:rsid w:val="00A27B99"/>
    <w:rsid w:val="00A469D5"/>
    <w:rsid w:val="00A678B3"/>
    <w:rsid w:val="00AA4779"/>
    <w:rsid w:val="00AA72CA"/>
    <w:rsid w:val="00AC395E"/>
    <w:rsid w:val="00B420C3"/>
    <w:rsid w:val="00B74E1D"/>
    <w:rsid w:val="00BB42A1"/>
    <w:rsid w:val="00BC5230"/>
    <w:rsid w:val="00C02DD3"/>
    <w:rsid w:val="00C04608"/>
    <w:rsid w:val="00C056AA"/>
    <w:rsid w:val="00CD16CE"/>
    <w:rsid w:val="00CF0D4E"/>
    <w:rsid w:val="00DA4C6D"/>
    <w:rsid w:val="00DC389C"/>
    <w:rsid w:val="00DF58DF"/>
    <w:rsid w:val="00E0379F"/>
    <w:rsid w:val="00E04DD0"/>
    <w:rsid w:val="00E10664"/>
    <w:rsid w:val="00E32E6C"/>
    <w:rsid w:val="00F36016"/>
    <w:rsid w:val="00FB3A7A"/>
    <w:rsid w:val="00F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6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6946"/>
    <w:pPr>
      <w:keepNext/>
      <w:framePr w:hSpace="141" w:wrap="notBeside" w:hAnchor="margin" w:y="446"/>
      <w:spacing w:after="0" w:line="240" w:lineRule="auto"/>
      <w:jc w:val="center"/>
      <w:outlineLvl w:val="0"/>
    </w:pPr>
    <w:rPr>
      <w:rFonts w:ascii="Comic Sans MS" w:eastAsia="Times New Roman" w:hAnsi="Comic Sans MS" w:cs="Arial"/>
      <w:sz w:val="32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6946"/>
    <w:pPr>
      <w:keepNext/>
      <w:framePr w:hSpace="141" w:wrap="around" w:vAnchor="page" w:hAnchor="margin" w:y="852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946"/>
    <w:rPr>
      <w:rFonts w:ascii="Comic Sans MS" w:hAnsi="Comic Sans MS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F6946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2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9C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340B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0B89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40B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0B89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64369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F694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6946"/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4</Pages>
  <Words>619</Words>
  <Characters>3405</Characters>
  <Application>Microsoft Office Outlook</Application>
  <DocSecurity>0</DocSecurity>
  <Lines>0</Lines>
  <Paragraphs>0</Paragraphs>
  <ScaleCrop>false</ScaleCrop>
  <Company>particulier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CONTRATS  D’EMBAUCHE</dc:title>
  <dc:subject/>
  <dc:creator>saumande</dc:creator>
  <cp:keywords/>
  <dc:description/>
  <cp:lastModifiedBy> </cp:lastModifiedBy>
  <cp:revision>9</cp:revision>
  <cp:lastPrinted>2010-12-06T10:06:00Z</cp:lastPrinted>
  <dcterms:created xsi:type="dcterms:W3CDTF">2010-12-15T14:30:00Z</dcterms:created>
  <dcterms:modified xsi:type="dcterms:W3CDTF">2011-02-01T18:50:00Z</dcterms:modified>
</cp:coreProperties>
</file>