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4" w:rsidRDefault="004F2EE4" w:rsidP="00E76B8C">
      <w:pPr>
        <w:jc w:val="center"/>
        <w:rPr>
          <w:b/>
          <w:u w:val="single"/>
        </w:rPr>
      </w:pPr>
    </w:p>
    <w:p w:rsidR="00E76B8C" w:rsidRPr="00DB2BE9" w:rsidRDefault="00E76B8C" w:rsidP="00DB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B2BE9">
        <w:t xml:space="preserve">Exercices </w:t>
      </w:r>
      <w:r w:rsidR="004F2EE4" w:rsidRPr="00DB2BE9">
        <w:t xml:space="preserve">de </w:t>
      </w:r>
      <w:r w:rsidR="00DB2BE9" w:rsidRPr="00DB2BE9">
        <w:t>P</w:t>
      </w:r>
      <w:r w:rsidR="004F2EE4" w:rsidRPr="00DB2BE9">
        <w:t>robabilités Statistique</w:t>
      </w:r>
    </w:p>
    <w:p w:rsidR="00DB2BE9" w:rsidRDefault="00DB2BE9" w:rsidP="00E76B8C">
      <w:pPr>
        <w:rPr>
          <w:b/>
          <w:u w:val="single"/>
        </w:rPr>
      </w:pPr>
    </w:p>
    <w:p w:rsidR="00DB2BE9" w:rsidRDefault="00DB2BE9" w:rsidP="00DB2BE9">
      <w:pPr>
        <w:rPr>
          <w:b/>
          <w:u w:val="single"/>
        </w:rPr>
      </w:pPr>
      <w:r>
        <w:rPr>
          <w:b/>
          <w:u w:val="single"/>
        </w:rPr>
        <w:t xml:space="preserve">Exercice 1 : </w:t>
      </w:r>
    </w:p>
    <w:p w:rsidR="00DB2BE9" w:rsidRPr="00DB2BE9" w:rsidRDefault="00DB2BE9" w:rsidP="00DB6A34">
      <w:pPr>
        <w:ind w:left="284" w:firstLine="0"/>
      </w:pPr>
      <w:r w:rsidRPr="00DB2BE9">
        <w:t>Une coopérative produit du beurre en microplaquettes de 12,5g pour des collectivités et des chaînes</w:t>
      </w:r>
      <w:r>
        <w:t xml:space="preserve"> </w:t>
      </w:r>
      <w:r w:rsidRPr="00DB2BE9">
        <w:t>hôtelières. Les microplaquettes sont conditionnées dans des boîtes de 40.</w:t>
      </w:r>
      <w:r>
        <w:t xml:space="preserve"> </w:t>
      </w:r>
      <w:commentRangeStart w:id="0"/>
      <w:r w:rsidRPr="00DB2BE9">
        <w:t>La masse des microplaquettes peut être modélisée par une variable aléatoire suivant une loi normale</w:t>
      </w:r>
      <w:r>
        <w:t xml:space="preserve"> </w:t>
      </w:r>
      <w:r w:rsidRPr="00DB2BE9">
        <w:t xml:space="preserve">d’espérance </w:t>
      </w:r>
      <w:r w:rsidRPr="00DB2BE9">
        <w:rPr>
          <w:i/>
          <w:iCs/>
        </w:rPr>
        <w:t xml:space="preserve">μ </w:t>
      </w:r>
      <w:r w:rsidRPr="00DB2BE9">
        <w:t xml:space="preserve">= 12,5 et de variance </w:t>
      </w:r>
      <w:r w:rsidRPr="00DB2BE9">
        <w:rPr>
          <w:i/>
          <w:iCs/>
        </w:rPr>
        <w:t>σ</w:t>
      </w:r>
      <w:r w:rsidR="00DB6A34">
        <w:rPr>
          <w:i/>
          <w:iCs/>
        </w:rPr>
        <w:t>²</w:t>
      </w:r>
      <w:r w:rsidRPr="00DB2BE9">
        <w:t xml:space="preserve"> = 0,22 </w:t>
      </w:r>
      <w:commentRangeEnd w:id="0"/>
      <w:r w:rsidR="007971B3">
        <w:rPr>
          <w:rStyle w:val="Marquedecommentaire"/>
        </w:rPr>
        <w:commentReference w:id="0"/>
      </w:r>
      <w:r w:rsidRPr="00DB2BE9">
        <w:t xml:space="preserve">et on admet que la variable aléatoire </w:t>
      </w:r>
      <w:r w:rsidRPr="00DB2BE9">
        <w:rPr>
          <w:i/>
          <w:iCs/>
        </w:rPr>
        <w:t xml:space="preserve">X </w:t>
      </w:r>
      <w:r w:rsidRPr="00DB2BE9">
        <w:t>égale à la masse</w:t>
      </w:r>
      <w:r w:rsidR="00DB6A34">
        <w:t xml:space="preserve"> </w:t>
      </w:r>
      <w:r w:rsidRPr="00DB2BE9">
        <w:t xml:space="preserve">d’une boîte de 40 microplaquettes suit alors une loi normale d’espérance </w:t>
      </w:r>
      <w:r w:rsidR="00DB6A34">
        <w:sym w:font="Symbol" w:char="F06D"/>
      </w:r>
      <w:r w:rsidR="00DB6A34">
        <w:t xml:space="preserve"> = </w:t>
      </w:r>
      <w:r w:rsidRPr="00DB2BE9">
        <w:t>500 et de variance</w:t>
      </w:r>
      <w:r w:rsidR="00DB6A34">
        <w:t xml:space="preserve"> </w:t>
      </w:r>
      <w:r w:rsidRPr="00DB2BE9">
        <w:rPr>
          <w:i/>
          <w:iCs/>
        </w:rPr>
        <w:t>σ</w:t>
      </w:r>
      <w:r w:rsidR="00DB6A34">
        <w:t>²</w:t>
      </w:r>
      <w:r w:rsidRPr="00DB2BE9">
        <w:t xml:space="preserve"> </w:t>
      </w:r>
      <w:r w:rsidR="00DB6A34">
        <w:t>= 1,6.</w:t>
      </w:r>
    </w:p>
    <w:p w:rsidR="00DB6A34" w:rsidRDefault="00DB2BE9" w:rsidP="00DB6A34">
      <w:pPr>
        <w:ind w:left="284" w:firstLine="0"/>
      </w:pPr>
      <w:r w:rsidRPr="00DB2BE9">
        <w:t>La boîte est jugée conforme si sa masse est comprise entre 496,2</w:t>
      </w:r>
      <w:r w:rsidR="00DB6A34">
        <w:t xml:space="preserve"> g et 503,8 g. </w:t>
      </w:r>
    </w:p>
    <w:p w:rsidR="00DB6A34" w:rsidRPr="00DB6A34" w:rsidRDefault="00DB2BE9" w:rsidP="00DB6A34">
      <w:pPr>
        <w:pStyle w:val="Paragraphedeliste"/>
        <w:numPr>
          <w:ilvl w:val="3"/>
          <w:numId w:val="11"/>
        </w:numPr>
        <w:ind w:left="284" w:firstLine="0"/>
        <w:rPr>
          <w:i/>
          <w:iCs/>
        </w:rPr>
      </w:pPr>
      <w:r w:rsidRPr="00DB2BE9">
        <w:t>Calculer la probabilité qu’une boîte prélevée aléatoirement en fin de chaîne de</w:t>
      </w:r>
      <w:r w:rsidR="00DB6A34">
        <w:t xml:space="preserve"> </w:t>
      </w:r>
      <w:r w:rsidRPr="00DB2BE9">
        <w:t xml:space="preserve">conditionnement soit non conforme. </w:t>
      </w:r>
    </w:p>
    <w:p w:rsidR="00DB6A34" w:rsidRDefault="00DB2BE9" w:rsidP="00DB2BE9">
      <w:pPr>
        <w:pStyle w:val="Paragraphedeliste"/>
        <w:numPr>
          <w:ilvl w:val="3"/>
          <w:numId w:val="11"/>
        </w:numPr>
        <w:ind w:left="284" w:firstLine="0"/>
      </w:pPr>
      <w:r w:rsidRPr="00DB2BE9">
        <w:t xml:space="preserve">Pour contrôler le réglage de la machine, on détermine </w:t>
      </w:r>
      <w:commentRangeStart w:id="1"/>
      <w:r w:rsidRPr="00DB2BE9">
        <w:t xml:space="preserve">des poids d'alerte </w:t>
      </w:r>
      <w:commentRangeEnd w:id="1"/>
      <w:r w:rsidR="007971B3">
        <w:rPr>
          <w:rStyle w:val="Marquedecommentaire"/>
        </w:rPr>
        <w:commentReference w:id="1"/>
      </w:r>
      <w:r w:rsidRPr="00DB6A34">
        <w:rPr>
          <w:i/>
          <w:iCs/>
        </w:rPr>
        <w:t xml:space="preserve">μ − h </w:t>
      </w:r>
      <w:r w:rsidRPr="00DB2BE9">
        <w:t xml:space="preserve">et </w:t>
      </w:r>
      <w:r w:rsidRPr="00DB6A34">
        <w:rPr>
          <w:i/>
          <w:iCs/>
        </w:rPr>
        <w:t xml:space="preserve">μ + h </w:t>
      </w:r>
      <w:r w:rsidRPr="00DB2BE9">
        <w:t>tels que</w:t>
      </w:r>
      <w:r w:rsidR="00DB6A34">
        <w:t xml:space="preserve"> </w:t>
      </w:r>
    </w:p>
    <w:p w:rsidR="00DB2BE9" w:rsidRPr="00DB2BE9" w:rsidRDefault="00DB2BE9" w:rsidP="00DB6A34">
      <w:pPr>
        <w:pStyle w:val="Paragraphedeliste"/>
        <w:ind w:left="284" w:firstLine="0"/>
      </w:pPr>
      <w:proofErr w:type="gramStart"/>
      <w:r w:rsidRPr="00DB2BE9">
        <w:t>P(</w:t>
      </w:r>
      <w:proofErr w:type="gramEnd"/>
      <w:r w:rsidRPr="00DB6A34">
        <w:rPr>
          <w:i/>
          <w:iCs/>
        </w:rPr>
        <w:t>μ − h &lt; X &lt; μ + h</w:t>
      </w:r>
      <w:r w:rsidRPr="00DB2BE9">
        <w:t>) = 0,99. Ces poids d’alerte sont inscrits sur une carte de contrôle et</w:t>
      </w:r>
      <w:r w:rsidR="00DB6A34">
        <w:t xml:space="preserve"> </w:t>
      </w:r>
      <w:r w:rsidRPr="00DB2BE9">
        <w:t>correspondent à une marge de sécurité en lien avec des normes de conformité.</w:t>
      </w:r>
    </w:p>
    <w:p w:rsidR="00DB2BE9" w:rsidRPr="00DB2BE9" w:rsidRDefault="00DB2BE9" w:rsidP="00DB2BE9">
      <w:pPr>
        <w:ind w:left="284" w:firstLine="0"/>
      </w:pPr>
      <w:r w:rsidRPr="00DB2BE9">
        <w:t>Calculer les poids d'alerte.</w:t>
      </w:r>
    </w:p>
    <w:p w:rsidR="00DB6A34" w:rsidRDefault="00DB6A34" w:rsidP="00DB6A34">
      <w:pPr>
        <w:autoSpaceDE w:val="0"/>
        <w:autoSpaceDN w:val="0"/>
        <w:adjustRightInd w:val="0"/>
        <w:ind w:left="284" w:firstLine="0"/>
        <w:rPr>
          <w:rFonts w:ascii="TimesNewRomanPSMT" w:hAnsi="TimesNewRomanPSMT" w:cs="TimesNewRomanPSMT"/>
          <w:i/>
        </w:rPr>
      </w:pPr>
    </w:p>
    <w:p w:rsidR="00DB2BE9" w:rsidRPr="00DB6A34" w:rsidRDefault="00DB6A34" w:rsidP="00DB6A34">
      <w:pPr>
        <w:autoSpaceDE w:val="0"/>
        <w:autoSpaceDN w:val="0"/>
        <w:adjustRightInd w:val="0"/>
        <w:ind w:left="284" w:firstLine="0"/>
        <w:rPr>
          <w:b/>
          <w:i/>
          <w:u w:val="single"/>
        </w:rPr>
      </w:pPr>
      <w:r w:rsidRPr="00DB6A34">
        <w:rPr>
          <w:rFonts w:ascii="TimesNewRomanPSMT" w:hAnsi="TimesNewRomanPSMT" w:cs="TimesNewRomanPSMT"/>
          <w:i/>
        </w:rPr>
        <w:t>Grâce à des échantillons prélevés en sortie de chaine ces masses d’alerte permettent de déceler des</w:t>
      </w:r>
      <w:r>
        <w:rPr>
          <w:rFonts w:ascii="TimesNewRomanPSMT" w:hAnsi="TimesNewRomanPSMT" w:cs="TimesNewRomanPSMT"/>
          <w:i/>
        </w:rPr>
        <w:t xml:space="preserve"> </w:t>
      </w:r>
      <w:r w:rsidRPr="00DB6A34">
        <w:rPr>
          <w:rFonts w:ascii="TimesNewRomanPSMT" w:hAnsi="TimesNewRomanPSMT" w:cs="TimesNewRomanPSMT"/>
          <w:i/>
        </w:rPr>
        <w:t>anomalies en temps réel.</w:t>
      </w:r>
    </w:p>
    <w:p w:rsidR="00DB6A34" w:rsidRDefault="00DB6A34" w:rsidP="00E76B8C">
      <w:pPr>
        <w:rPr>
          <w:b/>
          <w:u w:val="single"/>
        </w:rPr>
      </w:pPr>
    </w:p>
    <w:p w:rsidR="00DB6A34" w:rsidRDefault="00DB6A34" w:rsidP="00DB6A34">
      <w:pPr>
        <w:rPr>
          <w:b/>
          <w:u w:val="single"/>
        </w:rPr>
      </w:pPr>
      <w:r>
        <w:rPr>
          <w:b/>
          <w:u w:val="single"/>
        </w:rPr>
        <w:t xml:space="preserve">Exercice 2 : </w:t>
      </w:r>
    </w:p>
    <w:p w:rsidR="00DB6A34" w:rsidRPr="00DB6A34" w:rsidRDefault="00DB6A34" w:rsidP="00DB6A34">
      <w:pPr>
        <w:tabs>
          <w:tab w:val="left" w:pos="1320"/>
        </w:tabs>
        <w:ind w:left="357" w:firstLine="0"/>
      </w:pPr>
      <w:r w:rsidRPr="00DB6A34">
        <w:t xml:space="preserve">Sur une chaîne d'embouteillage dans une brasserie, la quantité </w:t>
      </w:r>
      <w:r w:rsidRPr="00DB6A34">
        <w:rPr>
          <w:i/>
          <w:iCs/>
        </w:rPr>
        <w:t xml:space="preserve">X </w:t>
      </w:r>
      <w:r w:rsidRPr="00DB6A34">
        <w:t>(en c</w:t>
      </w:r>
      <w:r>
        <w:t>l</w:t>
      </w:r>
      <w:r w:rsidRPr="00DB6A34">
        <w:t>) de liquide fournie par la</w:t>
      </w:r>
      <w:r>
        <w:t xml:space="preserve"> </w:t>
      </w:r>
      <w:r w:rsidRPr="00DB6A34">
        <w:t xml:space="preserve">machine </w:t>
      </w:r>
      <w:r>
        <w:t>p</w:t>
      </w:r>
      <w:r w:rsidRPr="00DB6A34">
        <w:t>our remplir chaque bouteille de contenance 110 c</w:t>
      </w:r>
      <w:r>
        <w:t>l</w:t>
      </w:r>
      <w:r w:rsidRPr="00DB6A34">
        <w:t xml:space="preserve"> peut être modélisée par une variable</w:t>
      </w:r>
      <w:r>
        <w:t xml:space="preserve"> </w:t>
      </w:r>
      <w:r w:rsidRPr="00DB6A34">
        <w:t xml:space="preserve">aléatoire de loi normale de moyenne </w:t>
      </w:r>
      <w:r w:rsidRPr="00DB6A34">
        <w:rPr>
          <w:i/>
          <w:iCs/>
        </w:rPr>
        <w:t xml:space="preserve">μ </w:t>
      </w:r>
      <w:r w:rsidRPr="00DB6A34">
        <w:t xml:space="preserve">et d’écart-type </w:t>
      </w:r>
      <w:r w:rsidRPr="00DB6A34">
        <w:rPr>
          <w:i/>
          <w:iCs/>
        </w:rPr>
        <w:t>σ</w:t>
      </w:r>
      <w:r w:rsidRPr="00DB6A34">
        <w:t xml:space="preserve"> = 2.</w:t>
      </w:r>
    </w:p>
    <w:p w:rsidR="00DB6A34" w:rsidRPr="00DB6A34" w:rsidRDefault="00DB6A34" w:rsidP="00DB6A34">
      <w:pPr>
        <w:tabs>
          <w:tab w:val="left" w:pos="1320"/>
        </w:tabs>
        <w:ind w:left="0" w:firstLine="357"/>
      </w:pPr>
      <w:commentRangeStart w:id="2"/>
      <w:r w:rsidRPr="00DB6A34">
        <w:t>La législation impose qu'il y ait moins de 0,1% de bouteilles contenant moins d'un litre.</w:t>
      </w:r>
      <w:commentRangeEnd w:id="2"/>
      <w:r w:rsidR="004721CC">
        <w:rPr>
          <w:rStyle w:val="Marquedecommentaire"/>
        </w:rPr>
        <w:commentReference w:id="2"/>
      </w:r>
    </w:p>
    <w:p w:rsidR="00DB6A34" w:rsidRDefault="00DB6A34" w:rsidP="00DB6A34">
      <w:pPr>
        <w:tabs>
          <w:tab w:val="left" w:pos="1320"/>
        </w:tabs>
        <w:ind w:left="0" w:firstLine="357"/>
      </w:pPr>
      <w:r w:rsidRPr="00DB6A34">
        <w:t xml:space="preserve">À quelle valeur de la moyenne </w:t>
      </w:r>
      <w:r w:rsidRPr="00DB6A34">
        <w:rPr>
          <w:i/>
          <w:iCs/>
        </w:rPr>
        <w:t xml:space="preserve">μ </w:t>
      </w:r>
      <w:r w:rsidRPr="00DB6A34">
        <w:t>doit-on régler la machine pour respecter cette législation?</w:t>
      </w:r>
      <w:r>
        <w:tab/>
      </w:r>
    </w:p>
    <w:p w:rsidR="00DB6A34" w:rsidRDefault="00DB6A34" w:rsidP="00DB6A34">
      <w:pPr>
        <w:tabs>
          <w:tab w:val="left" w:pos="1320"/>
        </w:tabs>
        <w:ind w:left="0" w:firstLine="357"/>
      </w:pPr>
    </w:p>
    <w:p w:rsidR="00DB6A34" w:rsidRPr="00DB6A34" w:rsidRDefault="00DB6A34" w:rsidP="00DB6A34">
      <w:pPr>
        <w:tabs>
          <w:tab w:val="left" w:pos="1320"/>
        </w:tabs>
        <w:ind w:left="0" w:firstLine="357"/>
        <w:rPr>
          <w:b/>
          <w:u w:val="single"/>
        </w:rPr>
      </w:pPr>
      <w:r w:rsidRPr="00DB6A34">
        <w:rPr>
          <w:b/>
          <w:u w:val="single"/>
        </w:rPr>
        <w:t xml:space="preserve">Exercice </w:t>
      </w:r>
      <w:r>
        <w:rPr>
          <w:b/>
          <w:u w:val="single"/>
        </w:rPr>
        <w:t>3</w:t>
      </w:r>
      <w:r w:rsidRPr="00DB6A34">
        <w:rPr>
          <w:b/>
          <w:u w:val="single"/>
        </w:rPr>
        <w:t xml:space="preserve"> : </w:t>
      </w:r>
    </w:p>
    <w:p w:rsidR="00DB6A34" w:rsidRDefault="00DB6A34" w:rsidP="00DB6A34">
      <w:pPr>
        <w:tabs>
          <w:tab w:val="left" w:pos="1320"/>
        </w:tabs>
        <w:ind w:left="357" w:firstLine="0"/>
      </w:pPr>
      <w:r w:rsidRPr="00DB6A34">
        <w:t>La durée de vie d'un certain type d’appareil est modélisée par une variable aléatoire suivant une loi</w:t>
      </w:r>
      <w:r>
        <w:t xml:space="preserve"> </w:t>
      </w:r>
      <w:r w:rsidRPr="00DB6A34">
        <w:t>normale de moyenne et d’écart-type inconnus. Les spécifications impliquent que 80 % de la</w:t>
      </w:r>
      <w:r>
        <w:t xml:space="preserve"> </w:t>
      </w:r>
      <w:r w:rsidRPr="00DB6A34">
        <w:t>production des appareils ait une durée de vie entre 120 et 200 jours et que 5% de la production ait une</w:t>
      </w:r>
      <w:r>
        <w:t xml:space="preserve"> </w:t>
      </w:r>
      <w:r w:rsidRPr="00DB6A34">
        <w:t xml:space="preserve">durée de vie inférieure à 120 </w:t>
      </w:r>
      <w:r>
        <w:t>j</w:t>
      </w:r>
      <w:r w:rsidRPr="00DB6A34">
        <w:t>ours.</w:t>
      </w:r>
    </w:p>
    <w:p w:rsidR="00DB6A34" w:rsidRDefault="00DB6A34" w:rsidP="00DB6A34">
      <w:pPr>
        <w:pStyle w:val="Paragraphedeliste"/>
        <w:numPr>
          <w:ilvl w:val="0"/>
          <w:numId w:val="13"/>
        </w:numPr>
        <w:tabs>
          <w:tab w:val="left" w:pos="426"/>
        </w:tabs>
        <w:ind w:left="426" w:firstLine="0"/>
      </w:pPr>
      <w:r w:rsidRPr="00DB6A34">
        <w:t xml:space="preserve">Quelles sont les valeurs de </w:t>
      </w:r>
      <w:r w:rsidRPr="00DB6A34">
        <w:rPr>
          <w:i/>
          <w:iCs/>
        </w:rPr>
        <w:t>μ</w:t>
      </w:r>
      <w:r w:rsidRPr="00DB6A34">
        <w:t xml:space="preserve"> et</w:t>
      </w:r>
      <w:r>
        <w:t xml:space="preserve"> </w:t>
      </w:r>
      <w:r w:rsidRPr="00DB6A34">
        <w:rPr>
          <w:i/>
          <w:iCs/>
        </w:rPr>
        <w:t>σ</w:t>
      </w:r>
      <w:r w:rsidRPr="00DB6A34">
        <w:t>²</w:t>
      </w:r>
      <w:r>
        <w:t xml:space="preserve"> </w:t>
      </w:r>
      <w:r w:rsidRPr="00DB6A34">
        <w:t>?</w:t>
      </w:r>
    </w:p>
    <w:p w:rsidR="00DB6A34" w:rsidRDefault="00DB6A34" w:rsidP="00DB6A34">
      <w:pPr>
        <w:pStyle w:val="Paragraphedeliste"/>
        <w:numPr>
          <w:ilvl w:val="0"/>
          <w:numId w:val="13"/>
        </w:numPr>
        <w:tabs>
          <w:tab w:val="left" w:pos="426"/>
        </w:tabs>
        <w:ind w:left="426" w:firstLine="0"/>
      </w:pPr>
      <w:r w:rsidRPr="00DB6A34">
        <w:t>Quelle est la probabilité d’avoir un</w:t>
      </w:r>
      <w:r>
        <w:t xml:space="preserve"> appareil dont la durée de vie est</w:t>
      </w:r>
      <w:r w:rsidRPr="00DB6A34">
        <w:t xml:space="preserve"> comp</w:t>
      </w:r>
      <w:bookmarkStart w:id="3" w:name="_GoBack"/>
      <w:bookmarkEnd w:id="3"/>
      <w:r w:rsidRPr="00DB6A34">
        <w:t>rise entre 200 jours</w:t>
      </w:r>
      <w:r>
        <w:t xml:space="preserve"> </w:t>
      </w:r>
      <w:r w:rsidRPr="00DB6A34">
        <w:t>et 230 jours ?</w:t>
      </w:r>
    </w:p>
    <w:p w:rsidR="00DB6A34" w:rsidRDefault="00DB6A34" w:rsidP="00DB6A34">
      <w:pPr>
        <w:tabs>
          <w:tab w:val="left" w:pos="1320"/>
        </w:tabs>
        <w:ind w:left="0" w:firstLine="357"/>
        <w:rPr>
          <w:b/>
          <w:u w:val="single"/>
        </w:rPr>
      </w:pPr>
    </w:p>
    <w:p w:rsidR="00DB6A34" w:rsidRPr="00DB6A34" w:rsidRDefault="00DB6A34" w:rsidP="00DB6A34">
      <w:pPr>
        <w:tabs>
          <w:tab w:val="left" w:pos="1320"/>
        </w:tabs>
        <w:ind w:left="0" w:firstLine="357"/>
        <w:rPr>
          <w:b/>
          <w:u w:val="single"/>
        </w:rPr>
      </w:pPr>
      <w:r w:rsidRPr="00DB6A34">
        <w:rPr>
          <w:b/>
          <w:u w:val="single"/>
        </w:rPr>
        <w:t xml:space="preserve">Exercice </w:t>
      </w:r>
      <w:r>
        <w:rPr>
          <w:b/>
          <w:u w:val="single"/>
        </w:rPr>
        <w:t>4</w:t>
      </w:r>
      <w:r w:rsidRPr="00DB6A34">
        <w:rPr>
          <w:b/>
          <w:u w:val="single"/>
        </w:rPr>
        <w:t xml:space="preserve"> : </w:t>
      </w:r>
    </w:p>
    <w:p w:rsidR="00DB6A34" w:rsidRPr="00DB6A34" w:rsidRDefault="00DB6A34" w:rsidP="00A41FFA">
      <w:pPr>
        <w:tabs>
          <w:tab w:val="left" w:pos="1320"/>
        </w:tabs>
        <w:ind w:left="357" w:firstLine="0"/>
      </w:pPr>
      <w:r w:rsidRPr="00DB6A34">
        <w:t>On admet que dans la population d’enfants de 11 à 14 ans d’un département français le pourcentage</w:t>
      </w:r>
      <w:r>
        <w:t xml:space="preserve"> </w:t>
      </w:r>
      <w:r w:rsidRPr="00DB6A34">
        <w:t>d’enfants ayant déjà eu une crise d’asthme dans leur vie est de 13%.</w:t>
      </w:r>
    </w:p>
    <w:p w:rsidR="00DB6A34" w:rsidRPr="00DB6A34" w:rsidRDefault="00DB6A34" w:rsidP="00A41FFA">
      <w:pPr>
        <w:tabs>
          <w:tab w:val="left" w:pos="1320"/>
        </w:tabs>
        <w:ind w:left="357" w:firstLine="0"/>
      </w:pPr>
      <w:r w:rsidRPr="00DB6A34">
        <w:t>Un médecin d’une ville de ce département est surpris du nombre important d’enfants le consultant</w:t>
      </w:r>
      <w:r w:rsidR="00A41FFA">
        <w:t xml:space="preserve"> </w:t>
      </w:r>
      <w:r w:rsidRPr="00DB6A34">
        <w:t>ayant des crises d’asthme et en informe les services sanitaires. Ceux–ci décident d’entreprendre une</w:t>
      </w:r>
      <w:r w:rsidR="00A41FFA">
        <w:t xml:space="preserve"> </w:t>
      </w:r>
      <w:r w:rsidRPr="00DB6A34">
        <w:t>étude et d’évaluer la proportion d’enfants de 11 à 14 ans ayant déjà eu des crises d’asthme.</w:t>
      </w:r>
    </w:p>
    <w:p w:rsidR="00DB6A34" w:rsidRPr="00DB6A34" w:rsidRDefault="00DB6A34" w:rsidP="00DB6A34">
      <w:pPr>
        <w:tabs>
          <w:tab w:val="left" w:pos="1320"/>
        </w:tabs>
        <w:ind w:left="0" w:firstLine="357"/>
      </w:pPr>
      <w:r w:rsidRPr="00DB6A34">
        <w:t>Ils sélectionnent de manière aléatoire 100 jeunes de 11 à 14 ans de la ville.</w:t>
      </w:r>
    </w:p>
    <w:p w:rsidR="00DB6A34" w:rsidRPr="00DB6A34" w:rsidRDefault="00DB6A34" w:rsidP="00A41FFA">
      <w:pPr>
        <w:tabs>
          <w:tab w:val="left" w:pos="1320"/>
        </w:tabs>
        <w:ind w:left="357" w:firstLine="0"/>
      </w:pPr>
      <w:r w:rsidRPr="00DB6A34">
        <w:t>La règle de décision prise est la suivante : si la proportion observée est supérieure à la borne</w:t>
      </w:r>
      <w:r w:rsidR="00A41FFA">
        <w:t xml:space="preserve"> </w:t>
      </w:r>
      <w:r w:rsidRPr="00DB6A34">
        <w:t>supérieure de l’intervalle de fluctuation asymptotique au seuil de 95% alors une investigation plus</w:t>
      </w:r>
      <w:r w:rsidR="00A41FFA">
        <w:t xml:space="preserve"> </w:t>
      </w:r>
      <w:r w:rsidRPr="00DB6A34">
        <w:t>complète sera mise en place afin de rechercher les facteurs de risque pouvant expliquer cette</w:t>
      </w:r>
      <w:r w:rsidR="00A41FFA">
        <w:t xml:space="preserve"> </w:t>
      </w:r>
      <w:r w:rsidRPr="00DB6A34">
        <w:t>proportion élevée.</w:t>
      </w:r>
    </w:p>
    <w:p w:rsidR="00A41FFA" w:rsidRDefault="00A41FFA" w:rsidP="00DB6A34">
      <w:pPr>
        <w:tabs>
          <w:tab w:val="left" w:pos="1320"/>
        </w:tabs>
        <w:ind w:left="0" w:firstLine="357"/>
        <w:rPr>
          <w:b/>
        </w:rPr>
      </w:pPr>
    </w:p>
    <w:p w:rsidR="00DB6A34" w:rsidRPr="00DB6A34" w:rsidRDefault="00DB6A34" w:rsidP="00DB6A34">
      <w:pPr>
        <w:tabs>
          <w:tab w:val="left" w:pos="1320"/>
        </w:tabs>
        <w:ind w:left="0" w:firstLine="357"/>
      </w:pPr>
      <w:r w:rsidRPr="00A41FFA">
        <w:rPr>
          <w:b/>
        </w:rPr>
        <w:t>1)</w:t>
      </w:r>
      <w:r w:rsidRPr="00DB6A34">
        <w:t xml:space="preserve"> Déterminer l’intervalle de fluctuation asymptotique au seuil de 95% de la proportion de jeunes de</w:t>
      </w:r>
    </w:p>
    <w:p w:rsidR="00DB6A34" w:rsidRPr="00DB6A34" w:rsidRDefault="00DB6A34" w:rsidP="00DB6A34">
      <w:pPr>
        <w:tabs>
          <w:tab w:val="left" w:pos="1320"/>
        </w:tabs>
        <w:ind w:left="0" w:firstLine="357"/>
      </w:pPr>
      <w:r w:rsidRPr="00DB6A34">
        <w:t>11 à 14 ans ayant eu une crise d’asthme dans</w:t>
      </w:r>
      <w:r w:rsidR="00A41FFA">
        <w:t xml:space="preserve"> un échantillon de taille 100.</w:t>
      </w:r>
    </w:p>
    <w:p w:rsidR="00A41FFA" w:rsidRDefault="00A41FFA" w:rsidP="00DB6A34">
      <w:pPr>
        <w:tabs>
          <w:tab w:val="left" w:pos="1320"/>
        </w:tabs>
        <w:ind w:left="0" w:firstLine="357"/>
        <w:rPr>
          <w:b/>
        </w:rPr>
      </w:pPr>
    </w:p>
    <w:p w:rsidR="00DB6A34" w:rsidRPr="00DB6A34" w:rsidRDefault="00DB6A34" w:rsidP="00DB6A34">
      <w:pPr>
        <w:tabs>
          <w:tab w:val="left" w:pos="1320"/>
        </w:tabs>
        <w:ind w:left="0" w:firstLine="357"/>
      </w:pPr>
      <w:r w:rsidRPr="00A41FFA">
        <w:rPr>
          <w:b/>
        </w:rPr>
        <w:t>2)</w:t>
      </w:r>
      <w:r w:rsidRPr="00DB6A34">
        <w:t xml:space="preserve"> L’étude réalisée auprès des 100 personnes a dénombré 19 jeunes ayant déjà eu des crises d’asthme.</w:t>
      </w:r>
    </w:p>
    <w:p w:rsidR="00DB6A34" w:rsidRPr="00DB6A34" w:rsidRDefault="00DB6A34" w:rsidP="00DB6A34">
      <w:pPr>
        <w:tabs>
          <w:tab w:val="left" w:pos="1320"/>
        </w:tabs>
        <w:ind w:left="0" w:firstLine="357"/>
      </w:pPr>
      <w:r w:rsidRPr="00DB6A34">
        <w:t>Que pouvez-vous conclure ?</w:t>
      </w:r>
    </w:p>
    <w:p w:rsidR="00DB6A34" w:rsidRPr="00A41FFA" w:rsidRDefault="00DB6A34" w:rsidP="00DB6A34">
      <w:pPr>
        <w:tabs>
          <w:tab w:val="left" w:pos="1320"/>
        </w:tabs>
        <w:ind w:left="0" w:firstLine="357"/>
        <w:rPr>
          <w:i/>
        </w:rPr>
      </w:pPr>
      <w:r w:rsidRPr="00A41FFA">
        <w:rPr>
          <w:i/>
        </w:rPr>
        <w:t>On en conclut que la règle de décision choisie ne prévoit pas de réaliser une enquête supplémentaire.</w:t>
      </w:r>
    </w:p>
    <w:p w:rsidR="00DB6A34" w:rsidRPr="00DB6A34" w:rsidRDefault="00DB6A34" w:rsidP="00A41FFA">
      <w:pPr>
        <w:tabs>
          <w:tab w:val="left" w:pos="1320"/>
        </w:tabs>
        <w:ind w:left="357" w:firstLine="0"/>
      </w:pPr>
      <w:r w:rsidRPr="00A41FFA">
        <w:rPr>
          <w:b/>
        </w:rPr>
        <w:lastRenderedPageBreak/>
        <w:t>3)</w:t>
      </w:r>
      <w:r w:rsidRPr="00DB6A34">
        <w:t xml:space="preserve"> Le médecin n’est pas convaincu par cette conclusion et déclare que le nombre de personnes</w:t>
      </w:r>
      <w:r w:rsidR="00A41FFA">
        <w:t xml:space="preserve"> </w:t>
      </w:r>
      <w:r w:rsidRPr="00DB6A34">
        <w:t>interrogées était insuffisant pour mettre en évidence qu’il y avait plus de jeunes ayant eu des crises</w:t>
      </w:r>
      <w:r w:rsidR="00A41FFA">
        <w:t xml:space="preserve"> </w:t>
      </w:r>
      <w:r w:rsidRPr="00DB6A34">
        <w:t>d’asthme que dans le reste du département.</w:t>
      </w:r>
    </w:p>
    <w:p w:rsidR="00DB6A34" w:rsidRPr="00DB6A34" w:rsidRDefault="00DB6A34" w:rsidP="00A41FFA">
      <w:pPr>
        <w:tabs>
          <w:tab w:val="left" w:pos="1320"/>
        </w:tabs>
        <w:ind w:left="357" w:firstLine="0"/>
      </w:pPr>
      <w:r w:rsidRPr="00DB6A34">
        <w:t>Combien faudrait-il prendre de sujets pour qu’une proportion observée de 19% soit en dehors de</w:t>
      </w:r>
      <w:r w:rsidR="00A41FFA">
        <w:t xml:space="preserve"> </w:t>
      </w:r>
      <w:r w:rsidRPr="00DB6A34">
        <w:t>l’intervalle de fluctuation asymptotique ?</w:t>
      </w:r>
    </w:p>
    <w:p w:rsidR="00A41FFA" w:rsidRDefault="00A41FFA" w:rsidP="00DB6A34">
      <w:pPr>
        <w:tabs>
          <w:tab w:val="left" w:pos="1320"/>
        </w:tabs>
        <w:ind w:left="0" w:firstLine="357"/>
        <w:rPr>
          <w:b/>
        </w:rPr>
      </w:pPr>
    </w:p>
    <w:p w:rsidR="00DB6A34" w:rsidRPr="00DB6A34" w:rsidRDefault="00DB6A34" w:rsidP="00A41FFA">
      <w:pPr>
        <w:tabs>
          <w:tab w:val="left" w:pos="1320"/>
        </w:tabs>
        <w:ind w:left="357" w:firstLine="0"/>
      </w:pPr>
      <w:r w:rsidRPr="00A41FFA">
        <w:rPr>
          <w:b/>
        </w:rPr>
        <w:t>4)</w:t>
      </w:r>
      <w:r w:rsidRPr="00DB6A34">
        <w:t xml:space="preserve"> Représenter graphiquement la taille de l’échantillon nécessaire en fonction de la valeur </w:t>
      </w:r>
      <w:proofErr w:type="spellStart"/>
      <w:r w:rsidRPr="00A41FFA">
        <w:rPr>
          <w:i/>
          <w:iCs/>
        </w:rPr>
        <w:t>p</w:t>
      </w:r>
      <w:r w:rsidRPr="00A41FFA">
        <w:rPr>
          <w:i/>
        </w:rPr>
        <w:t>sup</w:t>
      </w:r>
      <w:proofErr w:type="spellEnd"/>
      <w:r w:rsidRPr="00DB6A34">
        <w:t xml:space="preserve"> de la</w:t>
      </w:r>
      <w:r w:rsidR="00A41FFA">
        <w:t xml:space="preserve"> </w:t>
      </w:r>
      <w:r w:rsidRPr="00DB6A34">
        <w:t>borne supérieure de l’intervalle de fluctuation au seuil de 95%.</w:t>
      </w:r>
    </w:p>
    <w:p w:rsidR="00A41FFA" w:rsidRDefault="00A41FFA" w:rsidP="00E76B8C">
      <w:pPr>
        <w:rPr>
          <w:b/>
          <w:u w:val="single"/>
        </w:rPr>
      </w:pPr>
    </w:p>
    <w:p w:rsidR="00A41FFA" w:rsidRPr="001B121A" w:rsidRDefault="00A41FFA" w:rsidP="00A41FFA">
      <w:pPr>
        <w:rPr>
          <w:b/>
          <w:u w:val="single"/>
        </w:rPr>
      </w:pPr>
      <w:r w:rsidRPr="001B121A">
        <w:rPr>
          <w:b/>
          <w:u w:val="single"/>
        </w:rPr>
        <w:t>Exercice 5 :</w:t>
      </w:r>
    </w:p>
    <w:p w:rsidR="00A41FFA" w:rsidRPr="00A41FFA" w:rsidRDefault="00A41FFA" w:rsidP="00A41FFA">
      <w:r w:rsidRPr="00A41FFA">
        <w:t>Une compagnie aérienne possède des A340 (longs courriers) d’une capacité de 300 places.</w:t>
      </w:r>
    </w:p>
    <w:p w:rsidR="00A41FFA" w:rsidRPr="00A41FFA" w:rsidRDefault="00A41FFA" w:rsidP="00A41FFA">
      <w:r w:rsidRPr="00A41FFA">
        <w:t xml:space="preserve">Cette compagnie a vendu </w:t>
      </w:r>
      <w:r w:rsidRPr="00A41FFA">
        <w:rPr>
          <w:i/>
          <w:iCs/>
        </w:rPr>
        <w:t xml:space="preserve">n </w:t>
      </w:r>
      <w:r w:rsidRPr="00A41FFA">
        <w:t>billets pour le vol 2012.</w:t>
      </w:r>
    </w:p>
    <w:p w:rsidR="00A41FFA" w:rsidRPr="00A41FFA" w:rsidRDefault="00A41FFA" w:rsidP="00A41FFA">
      <w:r w:rsidRPr="00A41FFA">
        <w:t xml:space="preserve">La probabilité pour qu’un acheteur se présente à l’embarquement est </w:t>
      </w:r>
      <w:r w:rsidRPr="00A41FFA">
        <w:rPr>
          <w:i/>
          <w:iCs/>
        </w:rPr>
        <w:t xml:space="preserve">p </w:t>
      </w:r>
      <w:r w:rsidRPr="00A41FFA">
        <w:t>et les comportements des acheteurs sont</w:t>
      </w:r>
      <w:r>
        <w:t xml:space="preserve"> </w:t>
      </w:r>
      <w:r w:rsidRPr="00A41FFA">
        <w:t>indépendants les uns des autres.</w:t>
      </w:r>
    </w:p>
    <w:p w:rsidR="00A41FFA" w:rsidRPr="00A41FFA" w:rsidRDefault="00A41FFA" w:rsidP="00A41FFA">
      <w:r w:rsidRPr="00A41FFA">
        <w:t xml:space="preserve">On note </w:t>
      </w:r>
      <w:proofErr w:type="spellStart"/>
      <w:r w:rsidRPr="00A41FFA">
        <w:rPr>
          <w:i/>
          <w:iCs/>
        </w:rPr>
        <w:t>X</w:t>
      </w:r>
      <w:r w:rsidRPr="00A41FFA"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</w:t>
      </w:r>
      <w:r w:rsidRPr="00A41FFA">
        <w:t>la variable aléatoire désignant le nombre d’acheteurs d’un billet se présentant à</w:t>
      </w:r>
      <w:r>
        <w:t xml:space="preserve"> l</w:t>
      </w:r>
      <w:r w:rsidRPr="00A41FFA">
        <w:t>’embarquement.</w:t>
      </w:r>
    </w:p>
    <w:p w:rsidR="00A41FFA" w:rsidRPr="00A41FFA" w:rsidRDefault="00A41FFA" w:rsidP="00A41FFA">
      <w:r w:rsidRPr="00A41FFA">
        <w:t>La compagnie cherche à optimiser le remplissage de l’avion en vendant éventuellement plus de places</w:t>
      </w:r>
      <w:r>
        <w:t xml:space="preserve"> </w:t>
      </w:r>
      <w:r w:rsidRPr="00A41FFA">
        <w:t xml:space="preserve">que la capacité totale de l’avion (surréservation ou surbooking) soit ici </w:t>
      </w:r>
      <w:r w:rsidRPr="00A41FFA">
        <w:rPr>
          <w:iCs/>
        </w:rPr>
        <w:t xml:space="preserve">n </w:t>
      </w:r>
      <w:r w:rsidRPr="00A41FFA">
        <w:t>&gt; 300.</w:t>
      </w:r>
    </w:p>
    <w:p w:rsidR="00A41FFA" w:rsidRPr="00A41FFA" w:rsidRDefault="00A41FFA" w:rsidP="00A41FFA">
      <w:r w:rsidRPr="00A41FFA">
        <w:t>Comme il y a évidemment un risque que le nombre de passagers munis d’un billet se présentant à</w:t>
      </w:r>
      <w:r>
        <w:t xml:space="preserve"> </w:t>
      </w:r>
      <w:r w:rsidRPr="00A41FFA">
        <w:t>l’embarquement excède 300, la compagnie veut maîtriser ce risque.</w:t>
      </w:r>
    </w:p>
    <w:p w:rsidR="00A41FFA" w:rsidRPr="00A41FFA" w:rsidRDefault="00A41FFA" w:rsidP="00A41FFA">
      <w:r w:rsidRPr="00A41FFA">
        <w:rPr>
          <w:b/>
        </w:rPr>
        <w:t>1.</w:t>
      </w:r>
      <w:r w:rsidRPr="00A41FFA">
        <w:t xml:space="preserve"> Déterminer la loi de </w:t>
      </w:r>
      <w:r w:rsidRPr="00A41FFA">
        <w:rPr>
          <w:i/>
          <w:iCs/>
        </w:rPr>
        <w:t>X</w:t>
      </w:r>
      <w:r w:rsidRPr="00A41FFA">
        <w:rPr>
          <w:i/>
          <w:iCs/>
          <w:vertAlign w:val="subscript"/>
        </w:rPr>
        <w:t>n</w:t>
      </w:r>
      <w:r>
        <w:rPr>
          <w:iCs/>
        </w:rPr>
        <w:t>.</w:t>
      </w:r>
    </w:p>
    <w:p w:rsidR="00A41FFA" w:rsidRDefault="00A41FFA" w:rsidP="00A41FFA">
      <w:r w:rsidRPr="00A41FFA">
        <w:rPr>
          <w:b/>
        </w:rPr>
        <w:t>2.</w:t>
      </w:r>
      <w:r>
        <w:t xml:space="preserve"> On suppose que 0,5 ≤ </w:t>
      </w:r>
      <w:r w:rsidRPr="00A41FFA">
        <w:t xml:space="preserve"> </w:t>
      </w:r>
      <w:r>
        <w:rPr>
          <w:i/>
          <w:iCs/>
        </w:rPr>
        <w:t xml:space="preserve">p ≤ </w:t>
      </w:r>
      <w:r w:rsidRPr="00A41FFA">
        <w:t xml:space="preserve"> </w:t>
      </w:r>
      <w:proofErr w:type="gramStart"/>
      <w:r w:rsidRPr="00A41FFA">
        <w:t>0,95 .</w:t>
      </w:r>
      <w:proofErr w:type="gramEnd"/>
      <w:r w:rsidRPr="00A41FFA">
        <w:t xml:space="preserve"> </w:t>
      </w:r>
    </w:p>
    <w:p w:rsidR="00A41FFA" w:rsidRPr="00A41FFA" w:rsidRDefault="00A41FFA" w:rsidP="00A41FFA">
      <w:r w:rsidRPr="00A41FFA">
        <w:t xml:space="preserve">Écrire l’intervalle de fluctuation asymptotique </w:t>
      </w:r>
      <w:proofErr w:type="spellStart"/>
      <w:r w:rsidRPr="00A41FFA">
        <w:rPr>
          <w:i/>
          <w:iCs/>
        </w:rPr>
        <w:t>I</w:t>
      </w:r>
      <w:r w:rsidRPr="00A41FFA">
        <w:rPr>
          <w:i/>
          <w:iCs/>
          <w:vertAlign w:val="subscript"/>
        </w:rPr>
        <w:t>n</w:t>
      </w:r>
      <w:r w:rsidRPr="00A41FFA">
        <w:t xml:space="preserve"> de</w:t>
      </w:r>
      <w:proofErr w:type="spellEnd"/>
      <w:r>
        <w:t xml:space="preserve"> </w:t>
      </w:r>
      <w:r w:rsidRPr="00A41FFA">
        <w:rPr>
          <w:position w:val="-24"/>
        </w:rPr>
        <w:object w:dxaOrig="4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1.5pt" o:ole="">
            <v:imagedata r:id="rId7" o:title=""/>
          </v:shape>
          <o:OLEObject Type="Embed" ProgID="Equation.3" ShapeID="_x0000_i1025" DrawAspect="Content" ObjectID="_1392097422" r:id="rId8"/>
        </w:object>
      </w:r>
      <w:r>
        <w:t xml:space="preserve"> </w:t>
      </w:r>
      <w:r w:rsidRPr="00A41FFA">
        <w:t>au</w:t>
      </w:r>
      <w:r>
        <w:t xml:space="preserve"> </w:t>
      </w:r>
      <w:r w:rsidRPr="00A41FFA">
        <w:t>seuil de 0,95.</w:t>
      </w:r>
    </w:p>
    <w:p w:rsidR="00A41FFA" w:rsidRPr="00A41FFA" w:rsidRDefault="00A41FFA" w:rsidP="00A41FFA">
      <w:r w:rsidRPr="00A41FFA">
        <w:rPr>
          <w:b/>
        </w:rPr>
        <w:t>3.</w:t>
      </w:r>
      <w:r w:rsidRPr="00A41FFA">
        <w:t xml:space="preserve"> Montrer que si </w:t>
      </w:r>
      <w:r w:rsidRPr="00A41FFA">
        <w:rPr>
          <w:position w:val="-24"/>
        </w:rPr>
        <w:object w:dxaOrig="1320" w:dyaOrig="620">
          <v:shape id="_x0000_i1026" type="#_x0000_t75" style="width:66pt;height:30.75pt" o:ole="">
            <v:imagedata r:id="rId9" o:title=""/>
          </v:shape>
          <o:OLEObject Type="Embed" ProgID="Equation.3" ShapeID="_x0000_i1026" DrawAspect="Content" ObjectID="_1392097423" r:id="rId10"/>
        </w:object>
      </w:r>
      <w:r w:rsidRPr="00A41FFA">
        <w:t xml:space="preserve"> alors la probabilité que le nombre de passagers se présentant à</w:t>
      </w:r>
      <w:r>
        <w:t xml:space="preserve"> </w:t>
      </w:r>
      <w:r w:rsidRPr="00A41FFA">
        <w:t>l’embarquement excède 300 est proche de 0,05.</w:t>
      </w:r>
    </w:p>
    <w:p w:rsidR="00A41FFA" w:rsidRPr="00A41FFA" w:rsidRDefault="00A41FFA" w:rsidP="00A41FFA">
      <w:r w:rsidRPr="00A41FFA">
        <w:rPr>
          <w:b/>
        </w:rPr>
        <w:t>4.</w:t>
      </w:r>
      <w:r w:rsidRPr="00A41FFA">
        <w:t xml:space="preserve"> On cherche à déterminer la valeur de </w:t>
      </w:r>
      <w:r w:rsidRPr="00A41FFA">
        <w:rPr>
          <w:i/>
          <w:iCs/>
        </w:rPr>
        <w:t xml:space="preserve">n </w:t>
      </w:r>
      <w:r w:rsidRPr="00A41FFA">
        <w:t>maximale permettant de satisfaire la condition de</w:t>
      </w:r>
      <w:r>
        <w:t xml:space="preserve"> </w:t>
      </w:r>
      <w:r w:rsidRPr="00A41FFA">
        <w:t xml:space="preserve">l’inclusion </w:t>
      </w:r>
      <w:r w:rsidRPr="00A41FFA">
        <w:rPr>
          <w:position w:val="-24"/>
        </w:rPr>
        <w:object w:dxaOrig="1320" w:dyaOrig="620">
          <v:shape id="_x0000_i1027" type="#_x0000_t75" style="width:66pt;height:30.75pt" o:ole="">
            <v:imagedata r:id="rId11" o:title=""/>
          </v:shape>
          <o:OLEObject Type="Embed" ProgID="Equation.3" ShapeID="_x0000_i1027" DrawAspect="Content" ObjectID="_1392097424" r:id="rId12"/>
        </w:object>
      </w:r>
    </w:p>
    <w:p w:rsidR="00A41FFA" w:rsidRPr="00A41FFA" w:rsidRDefault="00A41FFA" w:rsidP="00A41FFA">
      <w:pPr>
        <w:rPr>
          <w:i/>
          <w:iCs/>
        </w:rPr>
      </w:pPr>
      <w:r w:rsidRPr="00A41FFA">
        <w:rPr>
          <w:b/>
        </w:rPr>
        <w:t>a.</w:t>
      </w:r>
      <w:r w:rsidRPr="00A41FFA">
        <w:t xml:space="preserve"> Montrer que </w:t>
      </w:r>
      <w:r w:rsidRPr="00A41FFA">
        <w:rPr>
          <w:position w:val="-24"/>
        </w:rPr>
        <w:object w:dxaOrig="1320" w:dyaOrig="620">
          <v:shape id="_x0000_i1028" type="#_x0000_t75" style="width:66pt;height:30.75pt" o:ole="">
            <v:imagedata r:id="rId13" o:title=""/>
          </v:shape>
          <o:OLEObject Type="Embed" ProgID="Equation.3" ShapeID="_x0000_i1028" DrawAspect="Content" ObjectID="_1392097425" r:id="rId14"/>
        </w:object>
      </w:r>
      <w:r>
        <w:t xml:space="preserve"> </w:t>
      </w:r>
      <w:r>
        <w:sym w:font="Symbol" w:char="F0DE"/>
      </w:r>
      <w:r>
        <w:t xml:space="preserve"> </w:t>
      </w:r>
      <w:r w:rsidR="001B121A" w:rsidRPr="00A41FFA">
        <w:rPr>
          <w:position w:val="-12"/>
        </w:rPr>
        <w:object w:dxaOrig="3159" w:dyaOrig="400">
          <v:shape id="_x0000_i1029" type="#_x0000_t75" style="width:158.25pt;height:19.5pt" o:ole="">
            <v:imagedata r:id="rId15" o:title=""/>
          </v:shape>
          <o:OLEObject Type="Embed" ProgID="Equation.3" ShapeID="_x0000_i1029" DrawAspect="Content" ObjectID="_1392097426" r:id="rId16"/>
        </w:object>
      </w:r>
      <w:r>
        <w:t>.</w:t>
      </w:r>
    </w:p>
    <w:p w:rsidR="00A41FFA" w:rsidRPr="00A41FFA" w:rsidRDefault="00A41FFA" w:rsidP="00A41FFA">
      <w:r w:rsidRPr="00A41FFA">
        <w:rPr>
          <w:b/>
        </w:rPr>
        <w:t>b.</w:t>
      </w:r>
      <w:r w:rsidRPr="00A41FFA">
        <w:t xml:space="preserve"> On pose </w:t>
      </w:r>
      <w:r w:rsidRPr="00A41FFA">
        <w:rPr>
          <w:i/>
          <w:iCs/>
        </w:rPr>
        <w:t xml:space="preserve">f </w:t>
      </w:r>
      <w:r w:rsidRPr="00A41FFA">
        <w:t>(</w:t>
      </w:r>
      <w:r w:rsidRPr="00A41FFA">
        <w:rPr>
          <w:i/>
          <w:iCs/>
        </w:rPr>
        <w:t>x</w:t>
      </w:r>
      <w:r w:rsidRPr="00A41FFA">
        <w:t xml:space="preserve">) </w:t>
      </w:r>
      <w:proofErr w:type="gramStart"/>
      <w:r>
        <w:t xml:space="preserve">= </w:t>
      </w:r>
      <w:proofErr w:type="gramEnd"/>
      <w:r w:rsidR="001B121A" w:rsidRPr="00A41FFA">
        <w:rPr>
          <w:position w:val="-12"/>
        </w:rPr>
        <w:object w:dxaOrig="2799" w:dyaOrig="400">
          <v:shape id="_x0000_i1030" type="#_x0000_t75" style="width:140.25pt;height:19.5pt" o:ole="">
            <v:imagedata r:id="rId17" o:title=""/>
          </v:shape>
          <o:OLEObject Type="Embed" ProgID="Equation.3" ShapeID="_x0000_i1030" DrawAspect="Content" ObjectID="_1392097427" r:id="rId18"/>
        </w:object>
      </w:r>
      <w:r>
        <w:t>. M</w:t>
      </w:r>
      <w:r w:rsidRPr="00A41FFA">
        <w:t xml:space="preserve">ontrer qu’il existe un entier </w:t>
      </w:r>
      <w:r w:rsidRPr="00A41FFA">
        <w:rPr>
          <w:i/>
          <w:iCs/>
        </w:rPr>
        <w:t>n</w:t>
      </w:r>
      <w:r w:rsidRPr="00A41FFA">
        <w:rPr>
          <w:vertAlign w:val="subscript"/>
        </w:rPr>
        <w:t>0</w:t>
      </w:r>
      <w:r w:rsidRPr="00A41FFA">
        <w:t xml:space="preserve"> unique tel que si </w:t>
      </w:r>
      <w:r w:rsidRPr="00A41FFA">
        <w:rPr>
          <w:i/>
          <w:iCs/>
        </w:rPr>
        <w:t xml:space="preserve">n </w:t>
      </w:r>
      <w:r w:rsidR="001B121A">
        <w:t xml:space="preserve">≤ </w:t>
      </w:r>
      <w:r w:rsidRPr="00A41FFA">
        <w:rPr>
          <w:i/>
          <w:iCs/>
        </w:rPr>
        <w:t>n</w:t>
      </w:r>
      <w:r w:rsidRPr="001B121A">
        <w:rPr>
          <w:vertAlign w:val="subscript"/>
        </w:rPr>
        <w:t>0</w:t>
      </w:r>
      <w:r w:rsidRPr="00A41FFA">
        <w:t xml:space="preserve"> alors </w:t>
      </w:r>
      <w:r w:rsidRPr="00A41FFA">
        <w:rPr>
          <w:i/>
          <w:iCs/>
        </w:rPr>
        <w:t xml:space="preserve">f </w:t>
      </w:r>
      <w:r w:rsidRPr="00A41FFA">
        <w:t>(</w:t>
      </w:r>
      <w:r w:rsidRPr="00A41FFA">
        <w:rPr>
          <w:i/>
          <w:iCs/>
        </w:rPr>
        <w:t>n</w:t>
      </w:r>
      <w:r w:rsidRPr="00A41FFA">
        <w:t xml:space="preserve">) </w:t>
      </w:r>
      <w:r w:rsidR="001B121A">
        <w:t>≤</w:t>
      </w:r>
      <w:r w:rsidRPr="00A41FFA">
        <w:t xml:space="preserve"> 0 et si </w:t>
      </w:r>
      <w:r w:rsidRPr="00A41FFA">
        <w:rPr>
          <w:i/>
          <w:iCs/>
        </w:rPr>
        <w:t xml:space="preserve">n </w:t>
      </w:r>
      <w:r w:rsidR="001B121A">
        <w:t>&gt;</w:t>
      </w:r>
      <w:r w:rsidRPr="00A41FFA">
        <w:t xml:space="preserve"> </w:t>
      </w:r>
      <w:r w:rsidRPr="00A41FFA">
        <w:rPr>
          <w:i/>
          <w:iCs/>
        </w:rPr>
        <w:t>n</w:t>
      </w:r>
      <w:r w:rsidRPr="001B121A">
        <w:rPr>
          <w:vertAlign w:val="subscript"/>
        </w:rPr>
        <w:t>0</w:t>
      </w:r>
      <w:r w:rsidR="001B121A">
        <w:t xml:space="preserve"> </w:t>
      </w:r>
      <w:r w:rsidRPr="00A41FFA">
        <w:t xml:space="preserve">alors </w:t>
      </w:r>
      <w:r w:rsidRPr="00A41FFA">
        <w:rPr>
          <w:i/>
          <w:iCs/>
        </w:rPr>
        <w:t xml:space="preserve">f </w:t>
      </w:r>
      <w:r w:rsidRPr="00A41FFA">
        <w:t>(</w:t>
      </w:r>
      <w:r w:rsidRPr="00A41FFA">
        <w:rPr>
          <w:i/>
          <w:iCs/>
        </w:rPr>
        <w:t>n</w:t>
      </w:r>
      <w:r w:rsidRPr="00A41FFA">
        <w:t xml:space="preserve">) </w:t>
      </w:r>
      <w:r w:rsidR="001B121A">
        <w:t>&gt;</w:t>
      </w:r>
      <w:r w:rsidRPr="00A41FFA">
        <w:t xml:space="preserve"> </w:t>
      </w:r>
      <w:proofErr w:type="gramStart"/>
      <w:r w:rsidRPr="00A41FFA">
        <w:t>0 .</w:t>
      </w:r>
      <w:proofErr w:type="gramEnd"/>
    </w:p>
    <w:p w:rsidR="00A41FFA" w:rsidRPr="00A41FFA" w:rsidRDefault="00A41FFA" w:rsidP="00A41FFA">
      <w:r w:rsidRPr="001B121A">
        <w:rPr>
          <w:b/>
        </w:rPr>
        <w:t>c.</w:t>
      </w:r>
      <w:r w:rsidRPr="00A41FFA">
        <w:t xml:space="preserve"> Tracer la courbe représentative de </w:t>
      </w:r>
      <w:r w:rsidRPr="00A41FFA">
        <w:rPr>
          <w:i/>
          <w:iCs/>
        </w:rPr>
        <w:t xml:space="preserve">f </w:t>
      </w:r>
      <w:r w:rsidRPr="00A41FFA">
        <w:t xml:space="preserve">pour les valeurs </w:t>
      </w:r>
      <w:r w:rsidRPr="00A41FFA">
        <w:rPr>
          <w:i/>
          <w:iCs/>
        </w:rPr>
        <w:t xml:space="preserve">p </w:t>
      </w:r>
      <w:r w:rsidRPr="00A41FFA">
        <w:t xml:space="preserve">= 0,85 ; </w:t>
      </w:r>
      <w:r w:rsidRPr="00A41FFA">
        <w:rPr>
          <w:i/>
          <w:iCs/>
        </w:rPr>
        <w:t xml:space="preserve">p </w:t>
      </w:r>
      <w:r w:rsidRPr="00A41FFA">
        <w:t xml:space="preserve">= 0,9 ; </w:t>
      </w:r>
      <w:r w:rsidRPr="00A41FFA">
        <w:rPr>
          <w:i/>
          <w:iCs/>
        </w:rPr>
        <w:t xml:space="preserve">p </w:t>
      </w:r>
      <w:r w:rsidRPr="00A41FFA">
        <w:t>= 0,95.</w:t>
      </w:r>
    </w:p>
    <w:p w:rsidR="00A41FFA" w:rsidRPr="001B121A" w:rsidRDefault="00A41FFA" w:rsidP="00A41FFA">
      <w:r w:rsidRPr="001B121A">
        <w:rPr>
          <w:b/>
        </w:rPr>
        <w:t>d.</w:t>
      </w:r>
      <w:r w:rsidRPr="001B121A">
        <w:t xml:space="preserve"> Déterminer à la calculatrice les valeurs de </w:t>
      </w:r>
      <w:r w:rsidRPr="001B121A">
        <w:rPr>
          <w:i/>
          <w:iCs/>
        </w:rPr>
        <w:t>n</w:t>
      </w:r>
      <w:r w:rsidRPr="001B121A">
        <w:rPr>
          <w:vertAlign w:val="subscript"/>
        </w:rPr>
        <w:t>0</w:t>
      </w:r>
      <w:r w:rsidRPr="001B121A">
        <w:t xml:space="preserve"> pour </w:t>
      </w:r>
      <w:r w:rsidRPr="001B121A">
        <w:rPr>
          <w:i/>
          <w:iCs/>
        </w:rPr>
        <w:t xml:space="preserve">p </w:t>
      </w:r>
      <w:r w:rsidRPr="001B121A">
        <w:t xml:space="preserve">= 0,85 ; </w:t>
      </w:r>
      <w:r w:rsidRPr="001B121A">
        <w:rPr>
          <w:i/>
          <w:iCs/>
        </w:rPr>
        <w:t xml:space="preserve">p </w:t>
      </w:r>
      <w:r w:rsidRPr="001B121A">
        <w:t xml:space="preserve">= 0,9 ; </w:t>
      </w:r>
      <w:r w:rsidRPr="001B121A">
        <w:rPr>
          <w:i/>
          <w:iCs/>
        </w:rPr>
        <w:t xml:space="preserve">p </w:t>
      </w:r>
      <w:r w:rsidRPr="001B121A">
        <w:t>= 0,95.</w:t>
      </w:r>
    </w:p>
    <w:p w:rsidR="00A41FFA" w:rsidRDefault="00A41FFA" w:rsidP="00E76B8C">
      <w:pPr>
        <w:rPr>
          <w:b/>
          <w:u w:val="single"/>
        </w:rPr>
      </w:pPr>
    </w:p>
    <w:p w:rsidR="001B121A" w:rsidRPr="001B121A" w:rsidRDefault="001B121A" w:rsidP="001B121A">
      <w:pPr>
        <w:rPr>
          <w:b/>
          <w:u w:val="single"/>
        </w:rPr>
      </w:pPr>
      <w:r w:rsidRPr="001B121A">
        <w:rPr>
          <w:b/>
          <w:u w:val="single"/>
        </w:rPr>
        <w:t xml:space="preserve">Exercice </w:t>
      </w:r>
      <w:r>
        <w:rPr>
          <w:b/>
          <w:u w:val="single"/>
        </w:rPr>
        <w:t>6</w:t>
      </w:r>
      <w:r w:rsidRPr="001B121A">
        <w:rPr>
          <w:b/>
          <w:u w:val="single"/>
        </w:rPr>
        <w:t xml:space="preserve"> : </w:t>
      </w:r>
    </w:p>
    <w:p w:rsidR="001B121A" w:rsidRPr="001B121A" w:rsidRDefault="001B121A" w:rsidP="001B121A">
      <w:r w:rsidRPr="001B121A">
        <w:t>Le 18 avril 2002, l’institut IPSOS effectue un sondage dans la population en âge de voter.</w:t>
      </w:r>
    </w:p>
    <w:p w:rsidR="001B121A" w:rsidRPr="001B121A" w:rsidRDefault="001B121A" w:rsidP="001B121A">
      <w:r w:rsidRPr="001B121A">
        <w:t>On constitue un échantillon de 1000 personnes (inscrites sur les listes électorales) que l’on suppose</w:t>
      </w:r>
      <w:r>
        <w:t xml:space="preserve"> </w:t>
      </w:r>
      <w:r w:rsidRPr="001B121A">
        <w:t xml:space="preserve">choisies ici de manière aléatoire. </w:t>
      </w:r>
    </w:p>
    <w:p w:rsidR="001B121A" w:rsidRPr="001B121A" w:rsidRDefault="001B121A" w:rsidP="001B121A">
      <w:r w:rsidRPr="001B121A">
        <w:t>Les résultats partiels en sont les suivants :</w:t>
      </w:r>
    </w:p>
    <w:p w:rsidR="001B121A" w:rsidRPr="001B121A" w:rsidRDefault="001B121A" w:rsidP="001B121A">
      <w:r w:rsidRPr="001B121A">
        <w:t>Sur les 1000 personnes</w:t>
      </w:r>
    </w:p>
    <w:p w:rsidR="001B121A" w:rsidRPr="001B121A" w:rsidRDefault="001B121A" w:rsidP="001B121A">
      <w:r w:rsidRPr="001B121A">
        <w:t>135 ont déclaré vouloir voter pour Jean-Marie Le Pen</w:t>
      </w:r>
    </w:p>
    <w:p w:rsidR="001B121A" w:rsidRPr="001B121A" w:rsidRDefault="001B121A" w:rsidP="001B121A">
      <w:r w:rsidRPr="001B121A">
        <w:t>195 ont déclaré vouloir voter pour Jacques Chirac</w:t>
      </w:r>
    </w:p>
    <w:p w:rsidR="001B121A" w:rsidRPr="001B121A" w:rsidRDefault="001B121A" w:rsidP="001B121A">
      <w:r w:rsidRPr="001B121A">
        <w:t>170 ont déclaré vouloir voter pour Lionel Jospin.</w:t>
      </w:r>
    </w:p>
    <w:p w:rsidR="001B121A" w:rsidRDefault="001B121A" w:rsidP="001B121A">
      <w:pPr>
        <w:pStyle w:val="Paragraphedeliste"/>
        <w:numPr>
          <w:ilvl w:val="0"/>
          <w:numId w:val="14"/>
        </w:numPr>
      </w:pPr>
      <w:r>
        <w:t xml:space="preserve">Déterminer l’intervalle de confiance </w:t>
      </w:r>
      <w:r w:rsidRPr="001B121A">
        <w:t>au niveau de confiance de 95%</w:t>
      </w:r>
      <w:r>
        <w:t xml:space="preserve"> pour chacun des 3 candidats.</w:t>
      </w:r>
    </w:p>
    <w:p w:rsidR="001B121A" w:rsidRDefault="001B121A" w:rsidP="001B121A">
      <w:pPr>
        <w:pStyle w:val="Paragraphedeliste"/>
        <w:numPr>
          <w:ilvl w:val="0"/>
          <w:numId w:val="14"/>
        </w:numPr>
      </w:pPr>
      <w:r>
        <w:t>Que peut-on à priori imaginer sur cette élection ?</w:t>
      </w:r>
    </w:p>
    <w:p w:rsidR="001B121A" w:rsidRDefault="001B121A" w:rsidP="001B121A">
      <w:pPr>
        <w:pStyle w:val="Paragraphedeliste"/>
        <w:numPr>
          <w:ilvl w:val="0"/>
          <w:numId w:val="14"/>
        </w:numPr>
      </w:pPr>
      <w:r>
        <w:t>L</w:t>
      </w:r>
      <w:r w:rsidRPr="001B121A">
        <w:t>e</w:t>
      </w:r>
      <w:r>
        <w:t xml:space="preserve">s résultats le jour de l’élection étaient </w:t>
      </w:r>
      <w:r w:rsidRPr="001B121A">
        <w:t>16,9%</w:t>
      </w:r>
      <w:r>
        <w:t xml:space="preserve"> pour M Le Pen</w:t>
      </w:r>
      <w:r w:rsidRPr="001B121A">
        <w:t>,</w:t>
      </w:r>
      <w:r>
        <w:t xml:space="preserve"> </w:t>
      </w:r>
      <w:r w:rsidRPr="001B121A">
        <w:t>19,9%</w:t>
      </w:r>
      <w:r>
        <w:t xml:space="preserve"> pour M Chirac et</w:t>
      </w:r>
      <w:r w:rsidRPr="001B121A">
        <w:t>16</w:t>
      </w:r>
      <w:proofErr w:type="gramStart"/>
      <w:r w:rsidRPr="001B121A">
        <w:t>,2</w:t>
      </w:r>
      <w:proofErr w:type="gramEnd"/>
      <w:r w:rsidRPr="001B121A">
        <w:t>%</w:t>
      </w:r>
      <w:r>
        <w:t>. pour M Jospin. Comparer ces résultats avec les intervalles de confiance.</w:t>
      </w:r>
    </w:p>
    <w:p w:rsidR="001B121A" w:rsidRDefault="001B121A">
      <w:r>
        <w:br w:type="page"/>
      </w:r>
    </w:p>
    <w:p w:rsidR="001B121A" w:rsidRDefault="001B121A" w:rsidP="001B121A"/>
    <w:p w:rsidR="001B121A" w:rsidRDefault="001B121A" w:rsidP="001B121A">
      <w:pPr>
        <w:rPr>
          <w:b/>
          <w:u w:val="single"/>
        </w:rPr>
      </w:pPr>
      <w:r w:rsidRPr="001B121A">
        <w:rPr>
          <w:b/>
          <w:u w:val="single"/>
        </w:rPr>
        <w:t>Exercice 7 :</w:t>
      </w:r>
    </w:p>
    <w:p w:rsidR="001B121A" w:rsidRPr="001B121A" w:rsidRDefault="001B121A" w:rsidP="001B121A">
      <w:r w:rsidRPr="001B121A">
        <w:t>Un test de diagnostic rapide effectué sur des sujets ictériques (coloration jaune de la peau, des</w:t>
      </w:r>
      <w:r>
        <w:t xml:space="preserve"> </w:t>
      </w:r>
      <w:r w:rsidRPr="001B121A">
        <w:t>muqueuses -couche de cellules de protection recouvrant les organes creux en contact avec l’extérieur</w:t>
      </w:r>
      <w:r>
        <w:t xml:space="preserve"> </w:t>
      </w:r>
      <w:r w:rsidRPr="001B121A">
        <w:t>et</w:t>
      </w:r>
      <w:r>
        <w:t xml:space="preserve"> </w:t>
      </w:r>
      <w:r w:rsidRPr="001B121A">
        <w:t>du blanc de l’œil –sclérotique-) doit permettre d’estimer si l’ictère est d’origine virale ou non, sans</w:t>
      </w:r>
      <w:r>
        <w:t xml:space="preserve"> </w:t>
      </w:r>
      <w:r w:rsidRPr="001B121A">
        <w:t xml:space="preserve">avoir besoin de </w:t>
      </w:r>
      <w:r>
        <w:t xml:space="preserve"> f</w:t>
      </w:r>
      <w:r w:rsidRPr="001B121A">
        <w:t>aire des analyses longues et compliquées. Cependant il est important de pouvoir</w:t>
      </w:r>
      <w:r>
        <w:t xml:space="preserve"> </w:t>
      </w:r>
      <w:r w:rsidRPr="001B121A">
        <w:t>s’assurer que ce test est de bonne qualité c'est-à-dire qu’il doit pouvoir indiquer correctement si</w:t>
      </w:r>
      <w:r>
        <w:t xml:space="preserve"> </w:t>
      </w:r>
      <w:r w:rsidRPr="001B121A">
        <w:t>l’ictère est viral ou non. Il doit être capable d’identifier correctement le type d’ictère : il est positif</w:t>
      </w:r>
      <w:r>
        <w:t xml:space="preserve"> </w:t>
      </w:r>
      <w:r w:rsidRPr="001B121A">
        <w:t>chez les sujets dont l’ictère est viral et négatif sinon.</w:t>
      </w:r>
    </w:p>
    <w:p w:rsidR="001B121A" w:rsidRPr="001B121A" w:rsidRDefault="001B121A" w:rsidP="001B121A">
      <w:r w:rsidRPr="001B121A">
        <w:t>Une étude est effectuée sur 100 personnes ayant un ictère viral et 100 personnes ayant un ictère</w:t>
      </w:r>
      <w:r>
        <w:t xml:space="preserve"> </w:t>
      </w:r>
      <w:r w:rsidRPr="001B121A">
        <w:t>d’origine non virale.</w:t>
      </w:r>
    </w:p>
    <w:p w:rsidR="001B121A" w:rsidRDefault="001B121A" w:rsidP="000A294F">
      <w:r w:rsidRPr="001B121A">
        <w:t>Les résultats obtenus sont présentés dans le tableau ci-dessous</w:t>
      </w:r>
      <w:r w:rsidR="000A294F">
        <w:t> :</w:t>
      </w:r>
    </w:p>
    <w:tbl>
      <w:tblPr>
        <w:tblStyle w:val="Grilledutableau"/>
        <w:tblW w:w="3545" w:type="pct"/>
        <w:tblInd w:w="1427" w:type="dxa"/>
        <w:tblLook w:val="04A0" w:firstRow="1" w:lastRow="0" w:firstColumn="1" w:lastColumn="0" w:noHBand="0" w:noVBand="1"/>
      </w:tblPr>
      <w:tblGrid>
        <w:gridCol w:w="1718"/>
        <w:gridCol w:w="2534"/>
        <w:gridCol w:w="2835"/>
      </w:tblGrid>
      <w:tr w:rsidR="001B121A" w:rsidTr="000A294F">
        <w:tc>
          <w:tcPr>
            <w:tcW w:w="1212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</w:p>
        </w:tc>
        <w:tc>
          <w:tcPr>
            <w:tcW w:w="1788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Hépatite virale</w:t>
            </w:r>
          </w:p>
        </w:tc>
        <w:tc>
          <w:tcPr>
            <w:tcW w:w="2000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Ictère d’origine non virale</w:t>
            </w:r>
          </w:p>
        </w:tc>
      </w:tr>
      <w:tr w:rsidR="001B121A" w:rsidTr="000A294F">
        <w:tc>
          <w:tcPr>
            <w:tcW w:w="1212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Test positif</w:t>
            </w:r>
          </w:p>
        </w:tc>
        <w:tc>
          <w:tcPr>
            <w:tcW w:w="1788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85</w:t>
            </w:r>
          </w:p>
        </w:tc>
        <w:tc>
          <w:tcPr>
            <w:tcW w:w="2000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20</w:t>
            </w:r>
          </w:p>
        </w:tc>
      </w:tr>
      <w:tr w:rsidR="001B121A" w:rsidTr="000A294F">
        <w:tc>
          <w:tcPr>
            <w:tcW w:w="1212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Test négatif</w:t>
            </w:r>
          </w:p>
        </w:tc>
        <w:tc>
          <w:tcPr>
            <w:tcW w:w="1788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2000" w:type="pct"/>
            <w:vAlign w:val="center"/>
          </w:tcPr>
          <w:p w:rsidR="001B121A" w:rsidRDefault="001B121A" w:rsidP="000A294F">
            <w:pPr>
              <w:ind w:left="0" w:firstLine="0"/>
              <w:jc w:val="center"/>
            </w:pPr>
            <w:r>
              <w:t>80</w:t>
            </w:r>
          </w:p>
        </w:tc>
      </w:tr>
    </w:tbl>
    <w:p w:rsidR="000A294F" w:rsidRPr="000A294F" w:rsidRDefault="000A294F" w:rsidP="000A294F">
      <w:r w:rsidRPr="000A294F">
        <w:rPr>
          <w:b/>
        </w:rPr>
        <w:t>a)</w:t>
      </w:r>
      <w:r w:rsidRPr="000A294F">
        <w:t xml:space="preserve"> Déterminer la proportion de sujets ayant un test positif parmi ceux ayant un ictère viral.</w:t>
      </w:r>
    </w:p>
    <w:p w:rsidR="000A294F" w:rsidRPr="000A294F" w:rsidRDefault="000A294F" w:rsidP="000A294F">
      <w:r w:rsidRPr="000A294F">
        <w:rPr>
          <w:b/>
        </w:rPr>
        <w:t>b)</w:t>
      </w:r>
      <w:r w:rsidRPr="000A294F">
        <w:t xml:space="preserve"> Déterminer un intervalle de confiance à 95% de la proportion de tests positifs lorsque l’ictère est</w:t>
      </w:r>
      <w:r>
        <w:t xml:space="preserve"> </w:t>
      </w:r>
      <w:r w:rsidRPr="000A294F">
        <w:t>viral. Cette proportion est appelée sensibilité du test diagnostic, c'est-à-dire la probabilité qu’une</w:t>
      </w:r>
      <w:r>
        <w:t xml:space="preserve"> personne </w:t>
      </w:r>
      <w:r w:rsidRPr="000A294F">
        <w:t>ayant un ictère viral réagisse au test. Un test diagnostic sera d’autant meilleur que la</w:t>
      </w:r>
      <w:r>
        <w:t xml:space="preserve"> sensibilité est importante. </w:t>
      </w:r>
    </w:p>
    <w:p w:rsidR="000A294F" w:rsidRPr="000A294F" w:rsidRDefault="000A294F" w:rsidP="000A294F">
      <w:r w:rsidRPr="000A294F">
        <w:rPr>
          <w:b/>
        </w:rPr>
        <w:t>c)</w:t>
      </w:r>
      <w:r w:rsidRPr="000A294F">
        <w:t xml:space="preserve"> Déterminer la proportion de sujets ayant un test négatif parmi celles ayant un ictère non viral.</w:t>
      </w:r>
    </w:p>
    <w:p w:rsidR="001B121A" w:rsidRDefault="000A294F" w:rsidP="000A294F">
      <w:r w:rsidRPr="000A294F">
        <w:rPr>
          <w:b/>
        </w:rPr>
        <w:t>d)</w:t>
      </w:r>
      <w:r w:rsidRPr="000A294F">
        <w:t xml:space="preserve"> Déterminer un intervalle de confiance à 95% de la proportion de tests négatifs lorsque l’ictère est</w:t>
      </w:r>
      <w:r>
        <w:t xml:space="preserve"> </w:t>
      </w:r>
      <w:r w:rsidRPr="000A294F">
        <w:t>non viral. Cette proportion est appelée spécificité du test diagnostic, c'est-à-dire la probabilité</w:t>
      </w:r>
      <w:r>
        <w:t xml:space="preserve"> </w:t>
      </w:r>
      <w:r w:rsidRPr="000A294F">
        <w:t>qu’une personne ayant un ictère non viral ne réagisse pas au test. Un test diagnostic sera d’autant</w:t>
      </w:r>
      <w:r>
        <w:t xml:space="preserve"> </w:t>
      </w:r>
      <w:r w:rsidRPr="000A294F">
        <w:t>meilleur que la spécificité est importante.</w:t>
      </w:r>
    </w:p>
    <w:p w:rsidR="000A294F" w:rsidRDefault="000A294F" w:rsidP="000A294F"/>
    <w:p w:rsidR="00E76B8C" w:rsidRPr="00171FB2" w:rsidRDefault="001B121A" w:rsidP="001B121A">
      <w:pPr>
        <w:rPr>
          <w:b/>
          <w:u w:val="single"/>
        </w:rPr>
      </w:pPr>
      <w:r w:rsidRPr="001B121A">
        <w:rPr>
          <w:b/>
          <w:u w:val="single"/>
        </w:rPr>
        <w:t xml:space="preserve"> </w:t>
      </w:r>
      <w:r w:rsidR="00E76B8C" w:rsidRPr="00171FB2">
        <w:rPr>
          <w:b/>
          <w:u w:val="single"/>
        </w:rPr>
        <w:t xml:space="preserve">Exercice </w:t>
      </w:r>
      <w:r w:rsidR="000278F4">
        <w:rPr>
          <w:b/>
          <w:u w:val="single"/>
        </w:rPr>
        <w:t>8</w:t>
      </w:r>
      <w:r w:rsidR="00E76B8C" w:rsidRPr="00171FB2">
        <w:rPr>
          <w:b/>
          <w:u w:val="single"/>
        </w:rPr>
        <w:t> :</w:t>
      </w:r>
    </w:p>
    <w:p w:rsidR="00E76B8C" w:rsidRDefault="00E76B8C" w:rsidP="00E76B8C">
      <w:r>
        <w:t xml:space="preserve">L’objectif de cet exercice est de démontrer de deux manières différentes que </w:t>
      </w:r>
      <w:r w:rsidRPr="00CE31B9">
        <w:rPr>
          <w:position w:val="-18"/>
        </w:rPr>
        <w:object w:dxaOrig="1740" w:dyaOrig="620">
          <v:shape id="_x0000_i1031" type="#_x0000_t75" style="width:87pt;height:30.75pt" o:ole="">
            <v:imagedata r:id="rId19" o:title=""/>
          </v:shape>
          <o:OLEObject Type="Embed" ProgID="Equation.3" ShapeID="_x0000_i1031" DrawAspect="Content" ObjectID="_1392097428" r:id="rId20"/>
        </w:object>
      </w:r>
    </w:p>
    <w:p w:rsidR="00E76B8C" w:rsidRPr="00171FB2" w:rsidRDefault="00E76B8C" w:rsidP="00E76B8C">
      <w:pPr>
        <w:rPr>
          <w:u w:val="single"/>
        </w:rPr>
      </w:pPr>
      <w:r w:rsidRPr="00171FB2">
        <w:rPr>
          <w:u w:val="single"/>
        </w:rPr>
        <w:t>1ere méthode : par changement de variable.</w:t>
      </w:r>
    </w:p>
    <w:p w:rsidR="00E76B8C" w:rsidRDefault="00E76B8C" w:rsidP="00E76B8C">
      <w:pPr>
        <w:rPr>
          <w:i/>
        </w:rPr>
      </w:pPr>
    </w:p>
    <w:p w:rsidR="00E76B8C" w:rsidRPr="0059661B" w:rsidRDefault="00E76B8C" w:rsidP="00E76B8C">
      <w:pPr>
        <w:rPr>
          <w:i/>
        </w:rPr>
      </w:pPr>
      <w:r w:rsidRPr="0059661B">
        <w:rPr>
          <w:i/>
        </w:rPr>
        <w:t>Pré-requis</w:t>
      </w:r>
    </w:p>
    <w:p w:rsidR="00E76B8C" w:rsidRDefault="00E76B8C" w:rsidP="00E76B8C">
      <w:r>
        <w:t xml:space="preserve">On admet le  théorème suivant : </w:t>
      </w:r>
    </w:p>
    <w:p w:rsidR="00E76B8C" w:rsidRPr="0059661B" w:rsidRDefault="00E76B8C" w:rsidP="00E7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61B">
        <w:t xml:space="preserve">Soit f une fonction </w:t>
      </w:r>
      <w:r>
        <w:t xml:space="preserve">de deux variables, </w:t>
      </w:r>
      <w:r w:rsidRPr="0059661B">
        <w:t>continue sur [</w:t>
      </w:r>
      <w:proofErr w:type="spellStart"/>
      <w:r w:rsidRPr="0059661B">
        <w:t>a</w:t>
      </w:r>
      <w:proofErr w:type="gramStart"/>
      <w:r w:rsidRPr="0059661B">
        <w:t>,b</w:t>
      </w:r>
      <w:proofErr w:type="spellEnd"/>
      <w:proofErr w:type="gramEnd"/>
      <w:r w:rsidRPr="0059661B">
        <w:t>]×[</w:t>
      </w:r>
      <w:proofErr w:type="spellStart"/>
      <w:r w:rsidRPr="0059661B">
        <w:t>c,d</w:t>
      </w:r>
      <w:proofErr w:type="spellEnd"/>
      <w:r w:rsidRPr="0059661B">
        <w:t>]</w:t>
      </w:r>
      <w:r>
        <w:t>,</w:t>
      </w:r>
      <w:r w:rsidRPr="0059661B">
        <w:t xml:space="preserve"> </w:t>
      </w:r>
      <w:r>
        <w:t>à</w:t>
      </w:r>
      <w:r w:rsidRPr="0059661B">
        <w:t xml:space="preserve">  valeurs dans </w:t>
      </w:r>
      <w:r w:rsidRPr="0059661B">
        <w:rPr>
          <w:b/>
          <w:bCs/>
        </w:rPr>
        <w:t>C</w:t>
      </w:r>
      <w:r w:rsidRPr="0059661B">
        <w:t xml:space="preserve">. Alors </w:t>
      </w:r>
    </w:p>
    <w:p w:rsidR="00E76B8C" w:rsidRDefault="00E76B8C" w:rsidP="00E7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61B">
        <w:rPr>
          <w:noProof/>
          <w:lang w:eastAsia="fr-FR"/>
        </w:rPr>
        <w:drawing>
          <wp:inline distT="0" distB="0" distL="0" distR="0">
            <wp:extent cx="3295650" cy="438150"/>
            <wp:effectExtent l="19050" t="0" r="0" b="0"/>
            <wp:docPr id="3" name="Image 11" descr="http://www.bibmath.net/dico/f/images/fubini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bmath.net/dico/f/images/fubini0x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B8C" w:rsidRDefault="00E76B8C" w:rsidP="00E76B8C"/>
    <w:p w:rsidR="00E76B8C" w:rsidRDefault="00E76B8C" w:rsidP="00E76B8C">
      <w:pPr>
        <w:pStyle w:val="Paragraphedeliste"/>
        <w:numPr>
          <w:ilvl w:val="0"/>
          <w:numId w:val="2"/>
        </w:numPr>
      </w:pPr>
      <w:r>
        <w:t xml:space="preserve">Démontrer que </w:t>
      </w:r>
      <w:r w:rsidR="00A41FFA">
        <w:rPr>
          <w:position w:val="-6"/>
        </w:rPr>
        <w:t>c</w:t>
      </w:r>
      <w:r>
        <w:t>est bien intégrable sur R</w:t>
      </w:r>
    </w:p>
    <w:p w:rsidR="00E76B8C" w:rsidRDefault="00E76B8C" w:rsidP="00E76B8C">
      <w:pPr>
        <w:pStyle w:val="Paragraphedeliste"/>
        <w:numPr>
          <w:ilvl w:val="0"/>
          <w:numId w:val="2"/>
        </w:numPr>
      </w:pPr>
      <w:r>
        <w:t xml:space="preserve">Soit a un réel positif. On pose I(a) </w:t>
      </w:r>
      <w:proofErr w:type="gramStart"/>
      <w:r>
        <w:t xml:space="preserve">= </w:t>
      </w:r>
      <w:proofErr w:type="gramEnd"/>
      <w:r w:rsidRPr="00CE31B9">
        <w:rPr>
          <w:position w:val="-18"/>
        </w:rPr>
        <w:object w:dxaOrig="900" w:dyaOrig="620">
          <v:shape id="_x0000_i1032" type="#_x0000_t75" style="width:45pt;height:30.75pt" o:ole="">
            <v:imagedata r:id="rId22" o:title=""/>
          </v:shape>
          <o:OLEObject Type="Embed" ProgID="Equation.3" ShapeID="_x0000_i1032" DrawAspect="Content" ObjectID="_1392097429" r:id="rId23"/>
        </w:object>
      </w:r>
      <w:r>
        <w:t xml:space="preserve">.  Démontrer que I(a)² = </w:t>
      </w:r>
      <w:r w:rsidRPr="005765DA">
        <w:rPr>
          <w:position w:val="-20"/>
        </w:rPr>
        <w:object w:dxaOrig="2000" w:dyaOrig="639">
          <v:shape id="_x0000_i1033" type="#_x0000_t75" style="width:99.75pt;height:32.25pt" o:ole="">
            <v:imagedata r:id="rId24" o:title=""/>
          </v:shape>
          <o:OLEObject Type="Embed" ProgID="Equation.3" ShapeID="_x0000_i1033" DrawAspect="Content" ObjectID="_1392097430" r:id="rId25"/>
        </w:object>
      </w:r>
      <w:r>
        <w:t>pour tout réel a positif.</w:t>
      </w:r>
    </w:p>
    <w:p w:rsidR="00E76B8C" w:rsidRDefault="00E76B8C" w:rsidP="00E76B8C">
      <w:pPr>
        <w:pStyle w:val="Paragraphedeliste"/>
        <w:numPr>
          <w:ilvl w:val="0"/>
          <w:numId w:val="2"/>
        </w:numPr>
      </w:pPr>
      <w:r>
        <w:t>Soit Da le domaine défini par Da = {(</w:t>
      </w:r>
      <w:proofErr w:type="spellStart"/>
      <w:r>
        <w:t>rcos</w:t>
      </w:r>
      <w:proofErr w:type="spellEnd"/>
      <w:r>
        <w:sym w:font="Symbol" w:char="F071"/>
      </w:r>
      <w:r>
        <w:t xml:space="preserve"> ; </w:t>
      </w:r>
      <w:proofErr w:type="spellStart"/>
      <w:r>
        <w:t>rsin</w:t>
      </w:r>
      <w:proofErr w:type="spellEnd"/>
      <w:r>
        <w:sym w:font="Symbol" w:char="F071"/>
      </w:r>
      <w:r>
        <w:t xml:space="preserve">) avec 0 ≤ r ≤ a et 0≤ </w:t>
      </w:r>
      <w:r>
        <w:sym w:font="Symbol" w:char="F071"/>
      </w:r>
      <w:r>
        <w:t xml:space="preserve"> ≤ </w:t>
      </w:r>
      <w:r>
        <w:sym w:font="Symbol" w:char="F070"/>
      </w:r>
      <w:r>
        <w:t>/</w:t>
      </w:r>
      <w:proofErr w:type="gramStart"/>
      <w:r>
        <w:t xml:space="preserve">2 </w:t>
      </w:r>
      <w:proofErr w:type="gramEnd"/>
      <w:r>
        <w:sym w:font="Symbol" w:char="F07D"/>
      </w:r>
      <w:r>
        <w:t xml:space="preserve">. </w:t>
      </w:r>
    </w:p>
    <w:p w:rsidR="00E76B8C" w:rsidRDefault="00E76B8C" w:rsidP="00E76B8C">
      <w:pPr>
        <w:pStyle w:val="Paragraphedeliste"/>
        <w:numPr>
          <w:ilvl w:val="0"/>
          <w:numId w:val="2"/>
        </w:numPr>
      </w:pPr>
      <w:r>
        <w:t>On pose J(a) =</w:t>
      </w:r>
      <w:r w:rsidRPr="00E41E1D">
        <w:rPr>
          <w:position w:val="-18"/>
        </w:rPr>
        <w:object w:dxaOrig="1520" w:dyaOrig="620">
          <v:shape id="_x0000_i1034" type="#_x0000_t75" style="width:75.75pt;height:30.75pt" o:ole="">
            <v:imagedata r:id="rId26" o:title=""/>
          </v:shape>
          <o:OLEObject Type="Embed" ProgID="Equation.3" ShapeID="_x0000_i1034" DrawAspect="Content" ObjectID="_1392097431" r:id="rId27"/>
        </w:object>
      </w:r>
      <w:r>
        <w:t xml:space="preserve">. Démontrer que J(a) = </w:t>
      </w:r>
      <w:r w:rsidRPr="00E41E1D">
        <w:rPr>
          <w:position w:val="-30"/>
        </w:rPr>
        <w:object w:dxaOrig="1920" w:dyaOrig="740">
          <v:shape id="_x0000_i1035" type="#_x0000_t75" style="width:96pt;height:36.75pt" o:ole="">
            <v:imagedata r:id="rId28" o:title=""/>
          </v:shape>
          <o:OLEObject Type="Embed" ProgID="Equation.3" ShapeID="_x0000_i1035" DrawAspect="Content" ObjectID="_1392097432" r:id="rId29"/>
        </w:object>
      </w:r>
      <w:r w:rsidRPr="004C5D2E">
        <w:t xml:space="preserve"> </w:t>
      </w:r>
      <w:r>
        <w:t>pour tout réel a positif.</w:t>
      </w:r>
    </w:p>
    <w:p w:rsidR="00E76B8C" w:rsidRDefault="00E76B8C" w:rsidP="00E76B8C">
      <w:pPr>
        <w:ind w:left="717" w:firstLine="0"/>
      </w:pPr>
    </w:p>
    <w:p w:rsidR="00E76B8C" w:rsidRDefault="00E76B8C" w:rsidP="00E76B8C">
      <w:pPr>
        <w:pStyle w:val="Paragraphedeliste"/>
        <w:numPr>
          <w:ilvl w:val="0"/>
          <w:numId w:val="2"/>
        </w:numPr>
      </w:pPr>
      <w:r>
        <w:t>En déduire la limite de J(a) quand a tend vers +∞.</w:t>
      </w:r>
    </w:p>
    <w:p w:rsidR="00E76B8C" w:rsidRDefault="00E76B8C" w:rsidP="00E76B8C">
      <w:pPr>
        <w:pStyle w:val="Paragraphedeliste"/>
        <w:numPr>
          <w:ilvl w:val="0"/>
          <w:numId w:val="2"/>
        </w:numPr>
      </w:pPr>
      <w:r>
        <w:t>Expliquer pourquoi J(a) ≤ I(a)² ≤ J(a</w:t>
      </w:r>
      <w:r w:rsidRPr="00E41E1D">
        <w:rPr>
          <w:position w:val="-6"/>
        </w:rPr>
        <w:object w:dxaOrig="380" w:dyaOrig="340">
          <v:shape id="_x0000_i1036" type="#_x0000_t75" style="width:18.75pt;height:17.25pt" o:ole="">
            <v:imagedata r:id="rId30" o:title=""/>
          </v:shape>
          <o:OLEObject Type="Embed" ProgID="Equation.3" ShapeID="_x0000_i1036" DrawAspect="Content" ObjectID="_1392097433" r:id="rId31"/>
        </w:object>
      </w:r>
      <w:r>
        <w:t>) pour tout réel a positif.</w:t>
      </w:r>
    </w:p>
    <w:p w:rsidR="00E76B8C" w:rsidRDefault="00E76B8C" w:rsidP="00E76B8C">
      <w:pPr>
        <w:pStyle w:val="Paragraphedeliste"/>
        <w:numPr>
          <w:ilvl w:val="0"/>
          <w:numId w:val="2"/>
        </w:numPr>
      </w:pPr>
      <w:r>
        <w:t xml:space="preserve">Déduire des questions précédentes la limite de I(a)² quand </w:t>
      </w:r>
      <w:r w:rsidRPr="005D4769">
        <w:t>a tend vers +∞.</w:t>
      </w:r>
    </w:p>
    <w:p w:rsidR="00E76B8C" w:rsidRDefault="00E76B8C" w:rsidP="00E76B8C">
      <w:pPr>
        <w:pStyle w:val="Paragraphedeliste"/>
        <w:numPr>
          <w:ilvl w:val="0"/>
          <w:numId w:val="2"/>
        </w:numPr>
      </w:pPr>
      <w:r>
        <w:t xml:space="preserve">Déterminer alors </w:t>
      </w:r>
      <w:r w:rsidRPr="00CE31B9">
        <w:rPr>
          <w:position w:val="-18"/>
        </w:rPr>
        <w:object w:dxaOrig="1020" w:dyaOrig="620">
          <v:shape id="_x0000_i1037" type="#_x0000_t75" style="width:51pt;height:30.75pt" o:ole="">
            <v:imagedata r:id="rId32" o:title=""/>
          </v:shape>
          <o:OLEObject Type="Embed" ProgID="Equation.3" ShapeID="_x0000_i1037" DrawAspect="Content" ObjectID="_1392097434" r:id="rId33"/>
        </w:object>
      </w:r>
    </w:p>
    <w:p w:rsidR="00E76B8C" w:rsidRDefault="00E76B8C" w:rsidP="00E76B8C"/>
    <w:p w:rsidR="00E76B8C" w:rsidRPr="005D4769" w:rsidRDefault="00E76B8C" w:rsidP="00E76B8C">
      <w:pPr>
        <w:rPr>
          <w:u w:val="single"/>
        </w:rPr>
      </w:pPr>
      <w:r>
        <w:rPr>
          <w:u w:val="single"/>
        </w:rPr>
        <w:t>2ème</w:t>
      </w:r>
      <w:r w:rsidRPr="005D4769">
        <w:rPr>
          <w:u w:val="single"/>
        </w:rPr>
        <w:t xml:space="preserve"> méthode :</w:t>
      </w:r>
      <w:r>
        <w:rPr>
          <w:u w:val="single"/>
        </w:rPr>
        <w:t xml:space="preserve"> avec les intégrales dépendant d’un paramètre.</w:t>
      </w:r>
    </w:p>
    <w:p w:rsidR="00E76B8C" w:rsidRPr="005D4769" w:rsidRDefault="00E76B8C" w:rsidP="00E76B8C">
      <w:pPr>
        <w:rPr>
          <w:i/>
        </w:rPr>
      </w:pPr>
    </w:p>
    <w:p w:rsidR="00E76B8C" w:rsidRPr="005D4769" w:rsidRDefault="00E76B8C" w:rsidP="00E76B8C">
      <w:pPr>
        <w:rPr>
          <w:i/>
        </w:rPr>
      </w:pPr>
      <w:r w:rsidRPr="005D4769">
        <w:rPr>
          <w:i/>
        </w:rPr>
        <w:t>Pré-requis</w:t>
      </w:r>
    </w:p>
    <w:p w:rsidR="00E76B8C" w:rsidRDefault="00E76B8C" w:rsidP="00E76B8C">
      <w:r w:rsidRPr="005D4769">
        <w:t>On admet</w:t>
      </w:r>
      <w:r>
        <w:t xml:space="preserve"> le théorème suivant :</w:t>
      </w:r>
    </w:p>
    <w:p w:rsidR="00E76B8C" w:rsidRDefault="00E76B8C" w:rsidP="00E7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I un intervalle de R. Si F est une fonction de deux variables, continue sur </w:t>
      </w:r>
      <w:proofErr w:type="gramStart"/>
      <w:r>
        <w:t>I</w:t>
      </w:r>
      <w:proofErr w:type="gramEnd"/>
      <w:r>
        <w:sym w:font="Symbol" w:char="F0B4"/>
      </w:r>
      <w:r>
        <w:t xml:space="preserve">[a ; b] et si </w:t>
      </w:r>
      <w:r w:rsidRPr="005D4769">
        <w:rPr>
          <w:position w:val="-24"/>
        </w:rPr>
        <w:object w:dxaOrig="400" w:dyaOrig="620">
          <v:shape id="_x0000_i1038" type="#_x0000_t75" style="width:20.25pt;height:30.75pt" o:ole="">
            <v:imagedata r:id="rId34" o:title=""/>
          </v:shape>
          <o:OLEObject Type="Embed" ProgID="Equation.3" ShapeID="_x0000_i1038" DrawAspect="Content" ObjectID="_1392097435" r:id="rId35"/>
        </w:object>
      </w:r>
      <w:r>
        <w:t xml:space="preserve">existe et est continue sur </w:t>
      </w:r>
      <w:r w:rsidRPr="005D4769">
        <w:t>I</w:t>
      </w:r>
      <w:r w:rsidRPr="005D4769">
        <w:sym w:font="Symbol" w:char="F0B4"/>
      </w:r>
      <w:r w:rsidRPr="005D4769">
        <w:t>[a ; b]</w:t>
      </w:r>
      <w:r>
        <w:t xml:space="preserve"> alors l’application f définie sur I par f(x) = </w:t>
      </w:r>
      <w:r w:rsidRPr="00CE31B9">
        <w:rPr>
          <w:position w:val="-18"/>
        </w:rPr>
        <w:object w:dxaOrig="1120" w:dyaOrig="520">
          <v:shape id="_x0000_i1039" type="#_x0000_t75" style="width:56.25pt;height:26.25pt" o:ole="">
            <v:imagedata r:id="rId36" o:title=""/>
          </v:shape>
          <o:OLEObject Type="Embed" ProgID="Equation.3" ShapeID="_x0000_i1039" DrawAspect="Content" ObjectID="_1392097436" r:id="rId37"/>
        </w:object>
      </w:r>
      <w:r>
        <w:t xml:space="preserve"> est dérivable sur I et f’(x) = </w:t>
      </w:r>
      <w:r w:rsidRPr="005D4769">
        <w:rPr>
          <w:position w:val="-24"/>
        </w:rPr>
        <w:object w:dxaOrig="1300" w:dyaOrig="620">
          <v:shape id="_x0000_i1040" type="#_x0000_t75" style="width:65.25pt;height:30.75pt" o:ole="">
            <v:imagedata r:id="rId38" o:title=""/>
          </v:shape>
          <o:OLEObject Type="Embed" ProgID="Equation.3" ShapeID="_x0000_i1040" DrawAspect="Content" ObjectID="_1392097437" r:id="rId39"/>
        </w:object>
      </w:r>
    </w:p>
    <w:p w:rsidR="00E76B8C" w:rsidRDefault="00E76B8C" w:rsidP="00E76B8C"/>
    <w:p w:rsidR="00E76B8C" w:rsidRDefault="00E76B8C" w:rsidP="00E76B8C">
      <w:r>
        <w:t xml:space="preserve">Soit f la fonction définie sur R par f(x) = </w:t>
      </w:r>
      <w:r w:rsidRPr="00D23AF9">
        <w:rPr>
          <w:position w:val="-24"/>
        </w:rPr>
        <w:object w:dxaOrig="1240" w:dyaOrig="660">
          <v:shape id="_x0000_i1041" type="#_x0000_t75" style="width:62.25pt;height:33pt" o:ole="">
            <v:imagedata r:id="rId40" o:title=""/>
          </v:shape>
          <o:OLEObject Type="Embed" ProgID="Equation.3" ShapeID="_x0000_i1041" DrawAspect="Content" ObjectID="_1392097438" r:id="rId41"/>
        </w:object>
      </w:r>
    </w:p>
    <w:p w:rsidR="00E76B8C" w:rsidRDefault="00E76B8C" w:rsidP="00E76B8C">
      <w:pPr>
        <w:pStyle w:val="Paragraphedeliste"/>
        <w:numPr>
          <w:ilvl w:val="0"/>
          <w:numId w:val="4"/>
        </w:numPr>
      </w:pPr>
      <w:r>
        <w:t>Démontrer que f est dérivable sur R</w:t>
      </w:r>
    </w:p>
    <w:p w:rsidR="00E76B8C" w:rsidRDefault="00E76B8C" w:rsidP="00E76B8C">
      <w:pPr>
        <w:pStyle w:val="Paragraphedeliste"/>
        <w:numPr>
          <w:ilvl w:val="0"/>
          <w:numId w:val="4"/>
        </w:numPr>
      </w:pPr>
      <w:r>
        <w:t xml:space="preserve">Démontrer que f’(x) = </w:t>
      </w:r>
      <w:r w:rsidRPr="004B181D">
        <w:rPr>
          <w:position w:val="-18"/>
        </w:rPr>
        <w:object w:dxaOrig="1579" w:dyaOrig="520">
          <v:shape id="_x0000_i1042" type="#_x0000_t75" style="width:78.75pt;height:26.25pt" o:ole="">
            <v:imagedata r:id="rId42" o:title=""/>
          </v:shape>
          <o:OLEObject Type="Embed" ProgID="Equation.3" ShapeID="_x0000_i1042" DrawAspect="Content" ObjectID="_1392097439" r:id="rId43"/>
        </w:object>
      </w:r>
      <w:r>
        <w:t xml:space="preserve"> pour tout réel x (on pourra utiliser un changement de variable de la forme u = </w:t>
      </w:r>
      <w:proofErr w:type="spellStart"/>
      <w:r>
        <w:t>tx</w:t>
      </w:r>
      <w:proofErr w:type="spellEnd"/>
      <w:r>
        <w:t>).</w:t>
      </w:r>
    </w:p>
    <w:p w:rsidR="00E76B8C" w:rsidRDefault="00E76B8C" w:rsidP="00E76B8C">
      <w:pPr>
        <w:pStyle w:val="Paragraphedeliste"/>
        <w:numPr>
          <w:ilvl w:val="0"/>
          <w:numId w:val="4"/>
        </w:numPr>
      </w:pPr>
      <w:r>
        <w:t xml:space="preserve">En déduire que pour tout réel x, f(x) = -2g’(x) g(x) où g est définie sur R par g(x) = </w:t>
      </w:r>
      <w:r w:rsidRPr="00CE31B9">
        <w:rPr>
          <w:position w:val="-18"/>
        </w:rPr>
        <w:object w:dxaOrig="900" w:dyaOrig="520">
          <v:shape id="_x0000_i1043" type="#_x0000_t75" style="width:45pt;height:26.25pt" o:ole="">
            <v:imagedata r:id="rId44" o:title=""/>
          </v:shape>
          <o:OLEObject Type="Embed" ProgID="Equation.3" ShapeID="_x0000_i1043" DrawAspect="Content" ObjectID="_1392097440" r:id="rId45"/>
        </w:object>
      </w:r>
    </w:p>
    <w:p w:rsidR="00E76B8C" w:rsidRDefault="00E76B8C" w:rsidP="00E76B8C">
      <w:pPr>
        <w:pStyle w:val="Paragraphedeliste"/>
        <w:numPr>
          <w:ilvl w:val="0"/>
          <w:numId w:val="4"/>
        </w:numPr>
      </w:pPr>
      <w:r>
        <w:t xml:space="preserve">Calculer f(0) et en déduire que </w:t>
      </w:r>
      <w:r w:rsidRPr="004C5D2E">
        <w:t xml:space="preserve">pour tout réel x, </w:t>
      </w:r>
      <w:r>
        <w:t xml:space="preserve">f(x) =  </w:t>
      </w:r>
      <w:r w:rsidRPr="00ED2B86">
        <w:rPr>
          <w:position w:val="-24"/>
        </w:rPr>
        <w:object w:dxaOrig="260" w:dyaOrig="620">
          <v:shape id="_x0000_i1044" type="#_x0000_t75" style="width:12.75pt;height:30.75pt" o:ole="">
            <v:imagedata r:id="rId46" o:title=""/>
          </v:shape>
          <o:OLEObject Type="Embed" ProgID="Equation.3" ShapeID="_x0000_i1044" DrawAspect="Content" ObjectID="_1392097441" r:id="rId47"/>
        </w:object>
      </w:r>
      <w:r>
        <w:t>- (g(x)</w:t>
      </w:r>
      <w:proofErr w:type="gramStart"/>
      <w:r>
        <w:t>)²</w:t>
      </w:r>
      <w:proofErr w:type="gramEnd"/>
      <w:r>
        <w:t>.</w:t>
      </w:r>
    </w:p>
    <w:p w:rsidR="00E76B8C" w:rsidRDefault="00E76B8C" w:rsidP="00E76B8C">
      <w:pPr>
        <w:pStyle w:val="Paragraphedeliste"/>
        <w:numPr>
          <w:ilvl w:val="0"/>
          <w:numId w:val="4"/>
        </w:numPr>
      </w:pPr>
      <w:r>
        <w:t xml:space="preserve">Démontrer que la limite de f à l’infini est égale à 0 (on pourra utiliser l’encadrement valable pour tout réel x,  0 ≤ f(x) </w:t>
      </w:r>
      <w:proofErr w:type="gramStart"/>
      <w:r>
        <w:t xml:space="preserve">≤ </w:t>
      </w:r>
      <w:proofErr w:type="gramEnd"/>
      <w:r w:rsidRPr="004C5D2E">
        <w:rPr>
          <w:position w:val="-24"/>
        </w:rPr>
        <w:object w:dxaOrig="1380" w:dyaOrig="620">
          <v:shape id="_x0000_i1045" type="#_x0000_t75" style="width:69pt;height:30.75pt" o:ole="">
            <v:imagedata r:id="rId48" o:title=""/>
          </v:shape>
          <o:OLEObject Type="Embed" ProgID="Equation.3" ShapeID="_x0000_i1045" DrawAspect="Content" ObjectID="_1392097442" r:id="rId49"/>
        </w:object>
      </w:r>
      <w:r>
        <w:t>)</w:t>
      </w:r>
    </w:p>
    <w:p w:rsidR="00E76B8C" w:rsidRDefault="00E76B8C" w:rsidP="00E76B8C">
      <w:pPr>
        <w:pStyle w:val="Paragraphedeliste"/>
        <w:numPr>
          <w:ilvl w:val="0"/>
          <w:numId w:val="4"/>
        </w:numPr>
      </w:pPr>
      <w:r>
        <w:t xml:space="preserve">Déterminer </w:t>
      </w:r>
      <w:proofErr w:type="gramStart"/>
      <w:r>
        <w:t xml:space="preserve">alors </w:t>
      </w:r>
      <w:proofErr w:type="gramEnd"/>
      <w:r w:rsidRPr="00CE31B9">
        <w:rPr>
          <w:position w:val="-18"/>
        </w:rPr>
        <w:object w:dxaOrig="1020" w:dyaOrig="620">
          <v:shape id="_x0000_i1046" type="#_x0000_t75" style="width:51pt;height:30.75pt" o:ole="">
            <v:imagedata r:id="rId32" o:title=""/>
          </v:shape>
          <o:OLEObject Type="Embed" ProgID="Equation.3" ShapeID="_x0000_i1046" DrawAspect="Content" ObjectID="_1392097443" r:id="rId50"/>
        </w:object>
      </w:r>
      <w:r>
        <w:t>.</w:t>
      </w:r>
    </w:p>
    <w:p w:rsidR="00E76B8C" w:rsidRDefault="00E76B8C" w:rsidP="00E76B8C">
      <w:pPr>
        <w:rPr>
          <w:b/>
          <w:u w:val="single"/>
        </w:rPr>
      </w:pPr>
    </w:p>
    <w:p w:rsidR="00E76B8C" w:rsidRPr="000E3DC1" w:rsidRDefault="00E76B8C" w:rsidP="00E76B8C">
      <w:pPr>
        <w:rPr>
          <w:b/>
          <w:u w:val="single"/>
        </w:rPr>
      </w:pPr>
      <w:r w:rsidRPr="000E3DC1">
        <w:rPr>
          <w:b/>
          <w:u w:val="single"/>
        </w:rPr>
        <w:t xml:space="preserve">Exercice </w:t>
      </w:r>
      <w:r w:rsidR="000278F4">
        <w:rPr>
          <w:b/>
          <w:u w:val="single"/>
        </w:rPr>
        <w:t>9</w:t>
      </w:r>
      <w:r w:rsidRPr="000E3DC1">
        <w:rPr>
          <w:b/>
          <w:u w:val="single"/>
        </w:rPr>
        <w:t xml:space="preserve"> : </w:t>
      </w:r>
      <w:r w:rsidRPr="000E3DC1">
        <w:rPr>
          <w:u w:val="single"/>
        </w:rPr>
        <w:t>Quelques propriétés de la loi normale centrée réduite…</w:t>
      </w:r>
    </w:p>
    <w:p w:rsidR="00E76B8C" w:rsidRDefault="00E76B8C" w:rsidP="00E76B8C">
      <w:pPr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t xml:space="preserve"> la fonction définie sur </w:t>
      </w:r>
      <m:oMath>
        <m:r>
          <m:rPr>
            <m:scr m:val="double-struck"/>
          </m:rPr>
          <w:rPr>
            <w:rFonts w:ascii="Cambria Math" w:hAnsi="Cambria Math"/>
          </w:rPr>
          <m:t xml:space="preserve">R </m:t>
        </m:r>
      </m:oMath>
      <w:r>
        <w:t>par </w:t>
      </w:r>
      <w:proofErr w:type="gramStart"/>
      <w:r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</w:t>
      </w:r>
    </w:p>
    <w:p w:rsidR="00E76B8C" w:rsidRDefault="00E76B8C" w:rsidP="00E76B8C">
      <w:pPr>
        <w:rPr>
          <w:rFonts w:eastAsiaTheme="minorEastAsia"/>
        </w:rPr>
      </w:pPr>
      <w:r>
        <w:rPr>
          <w:rFonts w:eastAsiaTheme="minorEastAsia"/>
        </w:rPr>
        <w:t>L’objet de l’exercice 1 était de démontrer que </w:t>
      </w:r>
      <w:proofErr w:type="gramStart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dx=1</m:t>
            </m:r>
          </m:e>
        </m:nary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</w:t>
      </w:r>
    </w:p>
    <w:p w:rsidR="00E76B8C" w:rsidRDefault="00E76B8C" w:rsidP="00E76B8C">
      <w:pPr>
        <w:rPr>
          <w:rFonts w:eastAsiaTheme="minorEastAsia"/>
          <w:b/>
        </w:rPr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étant continue, positive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et telle </w:t>
      </w:r>
      <w:proofErr w:type="gramStart"/>
      <w:r>
        <w:rPr>
          <w:rFonts w:eastAsiaTheme="minorEastAsia"/>
        </w:rPr>
        <w:t xml:space="preserve">que </w:t>
      </w:r>
      <w:proofErr w:type="gramEnd"/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dx=1</m:t>
            </m:r>
          </m:e>
        </m:nary>
      </m:oMath>
      <w:r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densité de probabilité : c’est la densité de la loi normale centrée réduite notée  </w:t>
      </w:r>
      <w:r w:rsidRPr="00154809">
        <w:rPr>
          <w:rFonts w:ascii="Monotype Corsiva" w:eastAsiaTheme="minorEastAsia" w:hAnsi="Monotype Corsiva"/>
          <w:b/>
        </w:rPr>
        <w:t>N</w:t>
      </w:r>
      <w:r w:rsidRPr="00154809">
        <w:rPr>
          <w:rFonts w:eastAsiaTheme="minorEastAsia"/>
          <w:b/>
        </w:rPr>
        <w:t>(0,1).</w:t>
      </w:r>
    </w:p>
    <w:p w:rsidR="00E76B8C" w:rsidRPr="00154809" w:rsidRDefault="00E76B8C" w:rsidP="00E76B8C">
      <w:pPr>
        <w:pStyle w:val="Paragraphedeliste"/>
        <w:numPr>
          <w:ilvl w:val="0"/>
          <w:numId w:val="9"/>
        </w:numPr>
        <w:spacing w:after="200" w:line="276" w:lineRule="auto"/>
      </w:pPr>
      <w:r>
        <w:t xml:space="preserve">Etudier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et donner l’allure de sa courbe représentative.</w:t>
      </w:r>
    </w:p>
    <w:p w:rsidR="00E76B8C" w:rsidRPr="00154809" w:rsidRDefault="00E76B8C" w:rsidP="00E76B8C">
      <w:pPr>
        <w:pStyle w:val="Paragraphedeliste"/>
        <w:numPr>
          <w:ilvl w:val="0"/>
          <w:numId w:val="9"/>
        </w:numPr>
        <w:spacing w:after="200" w:line="276" w:lineRule="auto"/>
      </w:pPr>
      <w:r>
        <w:rPr>
          <w:rFonts w:eastAsiaTheme="minorEastAsia"/>
        </w:rPr>
        <w:t xml:space="preserve">On dit qu’une variable aléatoire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suit la loi normale centrée réduite lorsque sa fonction de répartition est donnée par : </w:t>
      </w:r>
    </w:p>
    <w:p w:rsidR="00E76B8C" w:rsidRDefault="00E76B8C" w:rsidP="00E76B8C">
      <w:pPr>
        <w:ind w:left="360"/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pour tout t ∈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, 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X≤t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E76B8C" w:rsidRDefault="00E76B8C" w:rsidP="00E76B8C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Etablir que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réalise une bijection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sur ]</w:t>
      </w:r>
      <w:proofErr w:type="gramEnd"/>
      <w:r>
        <w:rPr>
          <w:rFonts w:eastAsiaTheme="minorEastAsia"/>
        </w:rPr>
        <w:t>0 ;1[.</w:t>
      </w:r>
    </w:p>
    <w:p w:rsidR="00E76B8C" w:rsidRDefault="00E76B8C" w:rsidP="00E76B8C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pour tout </w:t>
      </w:r>
      <m:oMath>
        <m:r>
          <m:rPr>
            <m:sty m:val="p"/>
          </m:rPr>
          <w:rPr>
            <w:rFonts w:ascii="Cambria Math" w:eastAsiaTheme="minorEastAsia" w:hAnsi="Cambria Math"/>
          </w:rPr>
          <m:t>t∈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 xml:space="preserve">R, 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-t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E76B8C" w:rsidRDefault="00E76B8C" w:rsidP="00E76B8C">
      <w:pPr>
        <w:pStyle w:val="Paragraphedeliste"/>
        <w:numPr>
          <w:ilvl w:val="0"/>
          <w:numId w:val="10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une variable aléatoire qui suit la loi normale centrée réduite, </w:t>
      </w:r>
    </w:p>
    <w:p w:rsidR="00E76B8C" w:rsidRDefault="00E76B8C" w:rsidP="00E76B8C">
      <w:pPr>
        <w:pStyle w:val="Paragraphedeliste"/>
        <w:ind w:left="1776"/>
        <w:rPr>
          <w:rFonts w:eastAsiaTheme="minorEastAsia"/>
        </w:rPr>
      </w:pPr>
      <w:r w:rsidRPr="00BF5E87">
        <w:rPr>
          <w:rFonts w:eastAsiaTheme="minorEastAsia"/>
        </w:rPr>
        <w:t>Démontrer que </w:t>
      </w:r>
      <w:proofErr w:type="gramStart"/>
      <w:r w:rsidRPr="00BF5E87">
        <w:rPr>
          <w:rFonts w:eastAsiaTheme="minorEastAsia"/>
        </w:rPr>
        <w:t>:</w:t>
      </w:r>
      <w:r>
        <w:rPr>
          <w:rFonts w:eastAsiaTheme="minorEastAsia"/>
        </w:rPr>
        <w:t xml:space="preserve">  </w:t>
      </w:r>
      <w:r w:rsidRPr="00BF5E8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pour tout</m:t>
        </m:r>
        <m:r>
          <w:rPr>
            <w:rFonts w:ascii="Cambria Math" w:eastAsiaTheme="minorEastAsia" w:hAnsi="Cambria Math"/>
          </w:rPr>
          <m:t xml:space="preserve"> α∈]0;1[</m:t>
        </m:r>
      </m:oMath>
      <w:r w:rsidRPr="00BF5E87">
        <w:rPr>
          <w:rFonts w:eastAsiaTheme="minorEastAsia"/>
        </w:rPr>
        <w:t>,</w:t>
      </w:r>
      <w:proofErr w:type="gramEnd"/>
      <w:r w:rsidRPr="00BF5E87">
        <w:rPr>
          <w:rFonts w:eastAsiaTheme="minorEastAsia"/>
        </w:rPr>
        <w:t xml:space="preserve"> il existe un unique réel positif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 w:rsidRPr="00BF5E87">
        <w:rPr>
          <w:rFonts w:eastAsiaTheme="minorEastAsia"/>
        </w:rPr>
        <w:t xml:space="preserve"> tel que </w:t>
      </w:r>
    </w:p>
    <w:p w:rsidR="00E76B8C" w:rsidRDefault="00E76B8C" w:rsidP="00E76B8C">
      <w:pPr>
        <w:pStyle w:val="Paragraphedeliste"/>
        <w:ind w:left="1776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≤X≤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=1-α</m:t>
          </m:r>
        </m:oMath>
      </m:oMathPara>
    </w:p>
    <w:p w:rsidR="00E76B8C" w:rsidRPr="00753A10" w:rsidRDefault="00E76B8C" w:rsidP="00E76B8C">
      <w:pPr>
        <w:pStyle w:val="Paragraphedeliste"/>
        <w:ind w:left="1776"/>
        <w:rPr>
          <w:rFonts w:eastAsiaTheme="minorEastAsia"/>
          <w:i/>
        </w:rPr>
      </w:pPr>
      <w:r w:rsidRPr="00753A10">
        <w:rPr>
          <w:rFonts w:eastAsiaTheme="minorEastAsia"/>
          <w:i/>
        </w:rPr>
        <w:t xml:space="preserve">(on pourra remarquer que pour tout réel u &gt; 0, </w:t>
      </w:r>
      <w:proofErr w:type="gramStart"/>
      <w:r w:rsidRPr="00753A10">
        <w:rPr>
          <w:rFonts w:eastAsiaTheme="minorEastAsia"/>
          <w:i/>
        </w:rPr>
        <w:t>P(</w:t>
      </w:r>
      <w:proofErr w:type="gramEnd"/>
      <w:r w:rsidRPr="00753A10">
        <w:rPr>
          <w:rFonts w:eastAsiaTheme="minorEastAsia"/>
          <w:i/>
        </w:rPr>
        <w:t>-u ≤ X ≤ u) = 2 P(0 ≤ X ≤ u) et appliquer un corollaire du théorème des valeurs intermédiaires)</w:t>
      </w:r>
    </w:p>
    <w:p w:rsidR="00E76B8C" w:rsidRDefault="00E76B8C" w:rsidP="00E76B8C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une variable aléatoire qui suit la loi normale centrée réduite, démontrer que :</w:t>
      </w:r>
    </w:p>
    <w:p w:rsidR="00E76B8C" w:rsidRPr="007D7072" w:rsidRDefault="00E76B8C" w:rsidP="00E76B8C">
      <w:pPr>
        <w:pStyle w:val="Paragraphedeliste"/>
        <w:numPr>
          <w:ilvl w:val="1"/>
          <w:numId w:val="9"/>
        </w:numPr>
        <w:spacing w:after="200" w:line="276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 admet une espérance et que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=0.</m:t>
        </m:r>
      </m:oMath>
    </w:p>
    <w:p w:rsidR="00E76B8C" w:rsidRPr="000E3DC1" w:rsidRDefault="00E76B8C" w:rsidP="00E76B8C">
      <w:pPr>
        <w:pStyle w:val="Paragraphedeliste"/>
        <w:numPr>
          <w:ilvl w:val="1"/>
          <w:numId w:val="9"/>
        </w:numPr>
        <w:spacing w:after="200" w:line="276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 xml:space="preserve">X </m:t>
        </m:r>
      </m:oMath>
      <w:r>
        <w:rPr>
          <w:rFonts w:eastAsiaTheme="minorEastAsia"/>
        </w:rPr>
        <w:t xml:space="preserve"> admet une variance et que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E76B8C" w:rsidRPr="000E3DC1" w:rsidRDefault="00E76B8C" w:rsidP="00E76B8C">
      <w:pPr>
        <w:pStyle w:val="Paragraphedeliste"/>
        <w:ind w:left="1440"/>
        <w:jc w:val="both"/>
        <w:rPr>
          <w:rFonts w:eastAsiaTheme="minorEastAsia"/>
          <w:i/>
        </w:rPr>
      </w:pPr>
      <w:r w:rsidRPr="000E3DC1">
        <w:rPr>
          <w:rFonts w:eastAsiaTheme="minorEastAsia"/>
          <w:i/>
        </w:rPr>
        <w:t xml:space="preserve">(on remarquera que V(X) = </w:t>
      </w:r>
      <w:proofErr w:type="gramStart"/>
      <w:r w:rsidRPr="000E3DC1">
        <w:rPr>
          <w:rFonts w:eastAsiaTheme="minorEastAsia"/>
          <w:i/>
        </w:rPr>
        <w:t>E(</w:t>
      </w:r>
      <w:proofErr w:type="gramEnd"/>
      <w:r w:rsidRPr="000E3DC1">
        <w:rPr>
          <w:rFonts w:eastAsiaTheme="minorEastAsia"/>
          <w:i/>
        </w:rPr>
        <w:t>(X-E(X))²) puis utiliser une intégration par parties)</w:t>
      </w:r>
    </w:p>
    <w:p w:rsidR="00E76B8C" w:rsidRDefault="00E76B8C" w:rsidP="00E76B8C"/>
    <w:p w:rsidR="00E76B8C" w:rsidRPr="00011FF7" w:rsidRDefault="00E76B8C" w:rsidP="00E76B8C">
      <w:pPr>
        <w:rPr>
          <w:b/>
          <w:u w:val="single"/>
        </w:rPr>
      </w:pPr>
      <w:r w:rsidRPr="00011FF7">
        <w:rPr>
          <w:b/>
          <w:u w:val="single"/>
        </w:rPr>
        <w:t xml:space="preserve">Exercice </w:t>
      </w:r>
      <w:r w:rsidR="000278F4">
        <w:rPr>
          <w:b/>
          <w:u w:val="single"/>
        </w:rPr>
        <w:t>10</w:t>
      </w:r>
      <w:r w:rsidRPr="00011FF7">
        <w:rPr>
          <w:b/>
          <w:u w:val="single"/>
        </w:rPr>
        <w:t> :</w:t>
      </w:r>
    </w:p>
    <w:p w:rsidR="00E76B8C" w:rsidRPr="00011FF7" w:rsidRDefault="00E76B8C" w:rsidP="00E76B8C">
      <w:pPr>
        <w:rPr>
          <w:i/>
        </w:rPr>
      </w:pPr>
      <w:r w:rsidRPr="00011FF7">
        <w:rPr>
          <w:i/>
        </w:rPr>
        <w:t>On rappelle les définitions suivantes :</w:t>
      </w:r>
    </w:p>
    <w:p w:rsidR="00E76B8C" w:rsidRPr="00011FF7" w:rsidRDefault="00E76B8C" w:rsidP="00E76B8C">
      <w:r w:rsidRPr="00011FF7">
        <w:t>Définition 1 :</w:t>
      </w:r>
    </w:p>
    <w:p w:rsidR="00E76B8C" w:rsidRDefault="00E76B8C" w:rsidP="00E7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1FF7">
        <w:t xml:space="preserve">Soit </w:t>
      </w:r>
      <w:r>
        <w:rPr>
          <w:i/>
          <w:iCs/>
        </w:rPr>
        <w:t>X</w:t>
      </w:r>
      <w:r w:rsidRPr="00011FF7">
        <w:rPr>
          <w:i/>
          <w:iCs/>
        </w:rPr>
        <w:t xml:space="preserve"> </w:t>
      </w:r>
      <w:r>
        <w:t xml:space="preserve">une </w:t>
      </w:r>
      <w:r w:rsidRPr="00011FF7">
        <w:t>variable aléatoire correspondant à la durée de vie d'un individu ou d'un objet.</w:t>
      </w:r>
      <w:r>
        <w:t xml:space="preserve"> Soient t et h deux réels positifs. </w:t>
      </w:r>
    </w:p>
    <w:p w:rsidR="00E76B8C" w:rsidRDefault="00E76B8C" w:rsidP="00E7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1FF7">
        <w:t xml:space="preserve">On dit que </w:t>
      </w:r>
      <w:r>
        <w:rPr>
          <w:i/>
          <w:iCs/>
        </w:rPr>
        <w:t>X</w:t>
      </w:r>
      <w:r w:rsidRPr="00011FF7">
        <w:rPr>
          <w:i/>
          <w:iCs/>
        </w:rPr>
        <w:t xml:space="preserve"> </w:t>
      </w:r>
      <w:r w:rsidRPr="00011FF7">
        <w:t xml:space="preserve">suit la </w:t>
      </w:r>
      <w:r>
        <w:t xml:space="preserve">propriété </w:t>
      </w:r>
      <w:r w:rsidRPr="00011FF7">
        <w:t>de durée de vie sans vieillissement lorsque la probabilité que l'individu (ou l'objet) soit</w:t>
      </w:r>
      <w:r>
        <w:t xml:space="preserve"> </w:t>
      </w:r>
      <w:r w:rsidRPr="00011FF7">
        <w:t xml:space="preserve">vivant (ou fonctionne) à l'instant </w:t>
      </w:r>
      <w:r w:rsidRPr="00011FF7">
        <w:rPr>
          <w:i/>
          <w:iCs/>
        </w:rPr>
        <w:t xml:space="preserve">t </w:t>
      </w:r>
      <w:r w:rsidRPr="00011FF7">
        <w:t xml:space="preserve">+ </w:t>
      </w:r>
      <w:r w:rsidRPr="00011FF7">
        <w:rPr>
          <w:i/>
          <w:iCs/>
        </w:rPr>
        <w:t xml:space="preserve">h </w:t>
      </w:r>
      <w:r w:rsidRPr="00011FF7">
        <w:t xml:space="preserve">sachant qu'il est vivant (ou qu'il fonctionne) à l'instant </w:t>
      </w:r>
      <w:r w:rsidRPr="00011FF7">
        <w:rPr>
          <w:i/>
          <w:iCs/>
        </w:rPr>
        <w:t xml:space="preserve">t </w:t>
      </w:r>
      <w:r w:rsidRPr="00011FF7">
        <w:t>ne dépend pas</w:t>
      </w:r>
      <w:r>
        <w:t xml:space="preserve"> </w:t>
      </w:r>
      <w:r w:rsidRPr="00011FF7">
        <w:t xml:space="preserve">de son âge </w:t>
      </w:r>
      <w:r>
        <w:rPr>
          <w:i/>
          <w:iCs/>
        </w:rPr>
        <w:t xml:space="preserve">t. </w:t>
      </w:r>
      <w:r>
        <w:rPr>
          <w:iCs/>
        </w:rPr>
        <w:t xml:space="preserve">Autrement dit, lorsque </w:t>
      </w:r>
      <w:r w:rsidRPr="00011FF7">
        <w:rPr>
          <w:i/>
          <w:iCs/>
        </w:rPr>
        <w:t>P</w:t>
      </w:r>
      <w:r>
        <w:rPr>
          <w:i/>
          <w:iCs/>
        </w:rPr>
        <w:t xml:space="preserve"> </w:t>
      </w:r>
      <w:r w:rsidRPr="00011FF7">
        <w:rPr>
          <w:vertAlign w:val="subscript"/>
        </w:rPr>
        <w:t>(</w:t>
      </w:r>
      <w:r w:rsidRPr="00011FF7">
        <w:rPr>
          <w:i/>
          <w:iCs/>
          <w:vertAlign w:val="subscript"/>
        </w:rPr>
        <w:t>X ≥ t</w:t>
      </w:r>
      <w:r w:rsidRPr="00011FF7">
        <w:rPr>
          <w:vertAlign w:val="subscript"/>
        </w:rPr>
        <w:t>)</w:t>
      </w:r>
      <w:r>
        <w:t xml:space="preserve"> </w:t>
      </w:r>
      <w:r w:rsidRPr="00011FF7">
        <w:t>(</w:t>
      </w:r>
      <w:r>
        <w:rPr>
          <w:i/>
          <w:iCs/>
        </w:rPr>
        <w:t xml:space="preserve">X ≥ </w:t>
      </w:r>
      <w:r w:rsidRPr="00011FF7">
        <w:rPr>
          <w:i/>
          <w:iCs/>
        </w:rPr>
        <w:t xml:space="preserve"> t </w:t>
      </w:r>
      <w:r w:rsidRPr="00011FF7">
        <w:t xml:space="preserve">+ </w:t>
      </w:r>
      <w:r w:rsidRPr="00011FF7">
        <w:rPr>
          <w:i/>
          <w:iCs/>
        </w:rPr>
        <w:t>h</w:t>
      </w:r>
      <w:r w:rsidRPr="00011FF7">
        <w:t xml:space="preserve">) = </w:t>
      </w:r>
      <w:r w:rsidRPr="00011FF7">
        <w:rPr>
          <w:i/>
          <w:iCs/>
        </w:rPr>
        <w:t>P</w:t>
      </w:r>
      <w:r w:rsidRPr="00011FF7">
        <w:t>(</w:t>
      </w:r>
      <w:r>
        <w:rPr>
          <w:i/>
          <w:iCs/>
        </w:rPr>
        <w:t xml:space="preserve">X ≥ </w:t>
      </w:r>
      <w:r w:rsidRPr="00011FF7">
        <w:rPr>
          <w:i/>
          <w:iCs/>
        </w:rPr>
        <w:t>h</w:t>
      </w:r>
      <w:r w:rsidRPr="00011FF7">
        <w:t>)</w:t>
      </w:r>
      <w:r>
        <w:t>.</w:t>
      </w:r>
    </w:p>
    <w:p w:rsidR="00E76B8C" w:rsidRDefault="00E76B8C" w:rsidP="00E76B8C">
      <w:r>
        <w:t>Définition 2 :</w:t>
      </w:r>
    </w:p>
    <w:p w:rsidR="00E76B8C" w:rsidRDefault="00E76B8C" w:rsidP="00E7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Une variable aléatoire à densité X suit la loi exponentielle de paramètre </w:t>
      </w:r>
      <w:r>
        <w:sym w:font="Symbol" w:char="F06C"/>
      </w:r>
      <w:r>
        <w:t xml:space="preserve"> &gt; 0 lorsque sa densité est la fonction f définie sur [0 ; +</w:t>
      </w:r>
      <w:proofErr w:type="gramStart"/>
      <w:r>
        <w:t>∞[</w:t>
      </w:r>
      <w:proofErr w:type="gramEnd"/>
      <w:r>
        <w:t xml:space="preserve"> par f(x) = </w:t>
      </w:r>
      <w:r>
        <w:sym w:font="Symbol" w:char="F06C"/>
      </w:r>
      <w:r>
        <w:t xml:space="preserve"> e</w:t>
      </w:r>
      <w:r>
        <w:rPr>
          <w:vertAlign w:val="superscript"/>
        </w:rPr>
        <w:t>-</w:t>
      </w:r>
      <w:r>
        <w:rPr>
          <w:vertAlign w:val="superscript"/>
        </w:rPr>
        <w:sym w:font="Symbol" w:char="F06C"/>
      </w:r>
      <w:r>
        <w:rPr>
          <w:vertAlign w:val="superscript"/>
        </w:rPr>
        <w:t>x</w:t>
      </w:r>
      <w:r>
        <w:t xml:space="preserve"> .</w:t>
      </w:r>
    </w:p>
    <w:p w:rsidR="00E76B8C" w:rsidRDefault="00E76B8C" w:rsidP="00E76B8C"/>
    <w:p w:rsidR="00E76B8C" w:rsidRDefault="00E76B8C" w:rsidP="00E76B8C">
      <w:pPr>
        <w:pStyle w:val="Paragraphedeliste"/>
        <w:numPr>
          <w:ilvl w:val="0"/>
          <w:numId w:val="5"/>
        </w:numPr>
      </w:pPr>
      <w:r>
        <w:t>Démontrer que X est une variable aléatoire qui suit une loi exponentielle, alors elle suit la propriété de durée de vie sans vieillissement.</w:t>
      </w:r>
    </w:p>
    <w:p w:rsidR="00E76B8C" w:rsidRDefault="00E76B8C" w:rsidP="00E76B8C">
      <w:pPr>
        <w:pStyle w:val="Paragraphedeliste"/>
        <w:numPr>
          <w:ilvl w:val="0"/>
          <w:numId w:val="5"/>
        </w:numPr>
      </w:pPr>
      <w:r>
        <w:t xml:space="preserve">L’objectif de cette question est de démontrer la propriété réciproque. </w:t>
      </w:r>
    </w:p>
    <w:p w:rsidR="00E76B8C" w:rsidRDefault="00E76B8C" w:rsidP="00E76B8C">
      <w:pPr>
        <w:pStyle w:val="Paragraphedeliste"/>
        <w:ind w:left="1434" w:firstLine="0"/>
      </w:pPr>
      <w:r>
        <w:t>Soit X une variable aléatoire qui suit une propriété de durée de vie sans vieillissement.</w:t>
      </w:r>
    </w:p>
    <w:p w:rsidR="00E76B8C" w:rsidRDefault="00E76B8C" w:rsidP="00E76B8C">
      <w:pPr>
        <w:pStyle w:val="Paragraphedeliste"/>
        <w:ind w:left="1434" w:firstLine="0"/>
      </w:pPr>
      <w:r>
        <w:t xml:space="preserve">Soit F la fonction de répartition de X et </w:t>
      </w:r>
      <w:r>
        <w:sym w:font="Symbol" w:char="F06A"/>
      </w:r>
      <w:r>
        <w:t xml:space="preserve"> la fonction définie sur [0 : +</w:t>
      </w:r>
      <w:proofErr w:type="gramStart"/>
      <w:r>
        <w:t>∞[</w:t>
      </w:r>
      <w:proofErr w:type="gramEnd"/>
      <w:r>
        <w:t xml:space="preserve"> par </w:t>
      </w:r>
      <w:r>
        <w:sym w:font="Symbol" w:char="F06A"/>
      </w:r>
      <w:r>
        <w:t>(t) = 1 – F(t).</w:t>
      </w:r>
    </w:p>
    <w:p w:rsidR="00E76B8C" w:rsidRDefault="00E76B8C" w:rsidP="00E76B8C">
      <w:pPr>
        <w:pStyle w:val="Paragraphedeliste"/>
        <w:ind w:left="1434" w:firstLine="0"/>
      </w:pPr>
      <w:r w:rsidRPr="00B10289">
        <w:rPr>
          <w:b/>
        </w:rPr>
        <w:t>a)</w:t>
      </w:r>
      <w:r>
        <w:t xml:space="preserve"> Démontrer que </w:t>
      </w:r>
      <w:r>
        <w:sym w:font="Symbol" w:char="F06A"/>
      </w:r>
      <w:r>
        <w:t xml:space="preserve">(0)=1 et que pour tous réels h et t positifs, </w:t>
      </w:r>
      <w:r>
        <w:sym w:font="Symbol" w:char="F06A"/>
      </w:r>
      <w:r>
        <w:t xml:space="preserve">(t+h) = </w:t>
      </w:r>
      <w:r>
        <w:sym w:font="Symbol" w:char="F06A"/>
      </w:r>
      <w:r>
        <w:t xml:space="preserve">(t) </w:t>
      </w:r>
      <w:r>
        <w:sym w:font="Symbol" w:char="F06A"/>
      </w:r>
      <w:r>
        <w:t>(h).</w:t>
      </w:r>
    </w:p>
    <w:p w:rsidR="00E76B8C" w:rsidRDefault="00E76B8C" w:rsidP="00E76B8C">
      <w:pPr>
        <w:ind w:left="723" w:firstLine="693"/>
      </w:pPr>
      <w:r w:rsidRPr="00B10289">
        <w:rPr>
          <w:b/>
        </w:rPr>
        <w:t>b)</w:t>
      </w:r>
      <w:r>
        <w:t xml:space="preserve"> En déduire une expression </w:t>
      </w:r>
      <w:proofErr w:type="gramStart"/>
      <w:r w:rsidR="00F3161F">
        <w:t xml:space="preserve">de </w:t>
      </w:r>
      <w:proofErr w:type="gramEnd"/>
      <w:r>
        <w:sym w:font="Symbol" w:char="F06A"/>
      </w:r>
      <w:r>
        <w:t>, puis de F.</w:t>
      </w:r>
    </w:p>
    <w:p w:rsidR="00E76B8C" w:rsidRPr="00011FF7" w:rsidRDefault="00E76B8C" w:rsidP="00E76B8C">
      <w:pPr>
        <w:pStyle w:val="Paragraphedeliste"/>
        <w:ind w:left="1434" w:firstLine="0"/>
      </w:pPr>
      <w:r w:rsidRPr="00B10289">
        <w:rPr>
          <w:b/>
        </w:rPr>
        <w:t>c)</w:t>
      </w:r>
      <w:r>
        <w:t xml:space="preserve"> En déduire que X suit bien la loi exponentielle.</w:t>
      </w:r>
    </w:p>
    <w:p w:rsidR="00E76B8C" w:rsidRDefault="00E76B8C" w:rsidP="00C73998">
      <w:pPr>
        <w:jc w:val="center"/>
        <w:rPr>
          <w:b/>
          <w:u w:val="single"/>
        </w:rPr>
      </w:pPr>
    </w:p>
    <w:p w:rsidR="00C73998" w:rsidRDefault="00C73998" w:rsidP="00011FF7">
      <w:pPr>
        <w:jc w:val="center"/>
        <w:rPr>
          <w:b/>
          <w:u w:val="single"/>
        </w:rPr>
      </w:pPr>
    </w:p>
    <w:p w:rsidR="000278F4" w:rsidRDefault="000278F4" w:rsidP="00011FF7">
      <w:pPr>
        <w:jc w:val="center"/>
        <w:rPr>
          <w:b/>
          <w:u w:val="single"/>
        </w:rPr>
      </w:pPr>
    </w:p>
    <w:sectPr w:rsidR="000278F4" w:rsidSect="00DB6A3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Vincent RICOMET" w:date="2012-02-29T19:39:00Z" w:initials="VR">
    <w:p w:rsidR="007971B3" w:rsidRDefault="007971B3">
      <w:pPr>
        <w:pStyle w:val="Commentaire"/>
      </w:pPr>
      <w:r>
        <w:rPr>
          <w:rStyle w:val="Marquedecommentaire"/>
        </w:rPr>
        <w:annotationRef/>
      </w:r>
      <w:r>
        <w:t xml:space="preserve">Pourquoi parler </w:t>
      </w:r>
      <w:proofErr w:type="gramStart"/>
      <w:r>
        <w:t>des micro</w:t>
      </w:r>
      <w:proofErr w:type="gramEnd"/>
      <w:r>
        <w:t xml:space="preserve"> plaquettes ?</w:t>
      </w:r>
    </w:p>
  </w:comment>
  <w:comment w:id="1" w:author=" Vincent RICOMET" w:date="2012-02-29T19:40:00Z" w:initials="VR">
    <w:p w:rsidR="007971B3" w:rsidRDefault="007971B3">
      <w:pPr>
        <w:pStyle w:val="Commentaire"/>
      </w:pPr>
      <w:r>
        <w:rPr>
          <w:rStyle w:val="Marquedecommentaire"/>
        </w:rPr>
        <w:annotationRef/>
      </w:r>
      <w:r>
        <w:t xml:space="preserve">Poids en bout de chaîne pour les caisses ou </w:t>
      </w:r>
      <w:proofErr w:type="gramStart"/>
      <w:r>
        <w:t>les micro</w:t>
      </w:r>
      <w:proofErr w:type="gramEnd"/>
      <w:r>
        <w:t xml:space="preserve"> plaquettes ?</w:t>
      </w:r>
    </w:p>
  </w:comment>
  <w:comment w:id="2" w:author=" Vincent RICOMET" w:date="2012-02-29T22:43:00Z" w:initials="VR">
    <w:p w:rsidR="004721CC" w:rsidRDefault="004721CC">
      <w:pPr>
        <w:pStyle w:val="Commentaire"/>
      </w:pPr>
      <w:r>
        <w:rPr>
          <w:rStyle w:val="Marquedecommentaire"/>
        </w:rPr>
        <w:annotationRef/>
      </w:r>
      <w:r>
        <w:t xml:space="preserve">La législation que j’ai </w:t>
      </w:r>
      <w:r w:rsidR="00267685">
        <w:t>trouvée ne parle que de hauteur plus ou moins 6mm.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FBF"/>
    <w:multiLevelType w:val="hybridMultilevel"/>
    <w:tmpl w:val="D8B060F6"/>
    <w:lvl w:ilvl="0" w:tplc="79F8915E">
      <w:start w:val="1"/>
      <w:numFmt w:val="decimal"/>
      <w:lvlText w:val="%1."/>
      <w:lvlJc w:val="left"/>
      <w:pPr>
        <w:ind w:left="2511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874" w:hanging="360"/>
      </w:pPr>
    </w:lvl>
    <w:lvl w:ilvl="2" w:tplc="040C001B" w:tentative="1">
      <w:start w:val="1"/>
      <w:numFmt w:val="lowerRoman"/>
      <w:lvlText w:val="%3."/>
      <w:lvlJc w:val="right"/>
      <w:pPr>
        <w:ind w:left="3594" w:hanging="180"/>
      </w:pPr>
    </w:lvl>
    <w:lvl w:ilvl="3" w:tplc="040C000F" w:tentative="1">
      <w:start w:val="1"/>
      <w:numFmt w:val="decimal"/>
      <w:lvlText w:val="%4."/>
      <w:lvlJc w:val="left"/>
      <w:pPr>
        <w:ind w:left="4314" w:hanging="360"/>
      </w:pPr>
    </w:lvl>
    <w:lvl w:ilvl="4" w:tplc="040C0019" w:tentative="1">
      <w:start w:val="1"/>
      <w:numFmt w:val="lowerLetter"/>
      <w:lvlText w:val="%5."/>
      <w:lvlJc w:val="left"/>
      <w:pPr>
        <w:ind w:left="5034" w:hanging="360"/>
      </w:pPr>
    </w:lvl>
    <w:lvl w:ilvl="5" w:tplc="040C001B" w:tentative="1">
      <w:start w:val="1"/>
      <w:numFmt w:val="lowerRoman"/>
      <w:lvlText w:val="%6."/>
      <w:lvlJc w:val="right"/>
      <w:pPr>
        <w:ind w:left="5754" w:hanging="180"/>
      </w:pPr>
    </w:lvl>
    <w:lvl w:ilvl="6" w:tplc="040C000F" w:tentative="1">
      <w:start w:val="1"/>
      <w:numFmt w:val="decimal"/>
      <w:lvlText w:val="%7."/>
      <w:lvlJc w:val="left"/>
      <w:pPr>
        <w:ind w:left="6474" w:hanging="360"/>
      </w:pPr>
    </w:lvl>
    <w:lvl w:ilvl="7" w:tplc="040C0019" w:tentative="1">
      <w:start w:val="1"/>
      <w:numFmt w:val="lowerLetter"/>
      <w:lvlText w:val="%8."/>
      <w:lvlJc w:val="left"/>
      <w:pPr>
        <w:ind w:left="7194" w:hanging="360"/>
      </w:pPr>
    </w:lvl>
    <w:lvl w:ilvl="8" w:tplc="04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>
    <w:nsid w:val="1AF43589"/>
    <w:multiLevelType w:val="hybridMultilevel"/>
    <w:tmpl w:val="DCC63374"/>
    <w:lvl w:ilvl="0" w:tplc="040C000F">
      <w:start w:val="1"/>
      <w:numFmt w:val="decimal"/>
      <w:lvlText w:val="%1.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6E947CF0">
      <w:start w:val="1"/>
      <w:numFmt w:val="decimal"/>
      <w:lvlText w:val="%4."/>
      <w:lvlJc w:val="left"/>
      <w:pPr>
        <w:ind w:left="3210" w:hanging="360"/>
      </w:pPr>
      <w:rPr>
        <w:b/>
        <w:i w:val="0"/>
      </w:r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B942CA7"/>
    <w:multiLevelType w:val="hybridMultilevel"/>
    <w:tmpl w:val="6702218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682135E"/>
    <w:multiLevelType w:val="hybridMultilevel"/>
    <w:tmpl w:val="4EA2F440"/>
    <w:lvl w:ilvl="0" w:tplc="79F8915E">
      <w:start w:val="1"/>
      <w:numFmt w:val="decimal"/>
      <w:lvlText w:val="%1."/>
      <w:lvlJc w:val="left"/>
      <w:pPr>
        <w:ind w:left="179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2B8B3B91"/>
    <w:multiLevelType w:val="hybridMultilevel"/>
    <w:tmpl w:val="E528C1F6"/>
    <w:lvl w:ilvl="0" w:tplc="80EC4680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F521593"/>
    <w:multiLevelType w:val="hybridMultilevel"/>
    <w:tmpl w:val="5792EC42"/>
    <w:lvl w:ilvl="0" w:tplc="79F8915E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FBD1B04"/>
    <w:multiLevelType w:val="hybridMultilevel"/>
    <w:tmpl w:val="154C6BA4"/>
    <w:lvl w:ilvl="0" w:tplc="79F8915E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14D260E"/>
    <w:multiLevelType w:val="hybridMultilevel"/>
    <w:tmpl w:val="24E6FAE6"/>
    <w:lvl w:ilvl="0" w:tplc="79F8915E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5FE714C"/>
    <w:multiLevelType w:val="hybridMultilevel"/>
    <w:tmpl w:val="D950781C"/>
    <w:lvl w:ilvl="0" w:tplc="36BC2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C09BD"/>
    <w:multiLevelType w:val="hybridMultilevel"/>
    <w:tmpl w:val="938CF222"/>
    <w:lvl w:ilvl="0" w:tplc="6E947CF0">
      <w:start w:val="1"/>
      <w:numFmt w:val="decimal"/>
      <w:lvlText w:val="%1."/>
      <w:lvlJc w:val="left"/>
      <w:pPr>
        <w:ind w:left="3567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A2363A0"/>
    <w:multiLevelType w:val="hybridMultilevel"/>
    <w:tmpl w:val="86723930"/>
    <w:lvl w:ilvl="0" w:tplc="79F8915E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0190DCD"/>
    <w:multiLevelType w:val="hybridMultilevel"/>
    <w:tmpl w:val="61C09BBE"/>
    <w:lvl w:ilvl="0" w:tplc="6E947CF0">
      <w:start w:val="1"/>
      <w:numFmt w:val="decimal"/>
      <w:lvlText w:val="%1."/>
      <w:lvlJc w:val="left"/>
      <w:pPr>
        <w:ind w:left="3567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63A40EB"/>
    <w:multiLevelType w:val="hybridMultilevel"/>
    <w:tmpl w:val="7DDABB50"/>
    <w:lvl w:ilvl="0" w:tplc="79F8915E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C4E7F05"/>
    <w:multiLevelType w:val="hybridMultilevel"/>
    <w:tmpl w:val="62AAA7C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2"/>
    <w:rsid w:val="00011FF7"/>
    <w:rsid w:val="000278F4"/>
    <w:rsid w:val="00092545"/>
    <w:rsid w:val="000A294F"/>
    <w:rsid w:val="00103A69"/>
    <w:rsid w:val="00171FB2"/>
    <w:rsid w:val="001B121A"/>
    <w:rsid w:val="002506FF"/>
    <w:rsid w:val="00267685"/>
    <w:rsid w:val="002952C1"/>
    <w:rsid w:val="0046713C"/>
    <w:rsid w:val="004721CC"/>
    <w:rsid w:val="004B181D"/>
    <w:rsid w:val="004C5D2E"/>
    <w:rsid w:val="004F2EE4"/>
    <w:rsid w:val="004F3149"/>
    <w:rsid w:val="005765DA"/>
    <w:rsid w:val="0059661B"/>
    <w:rsid w:val="005D4769"/>
    <w:rsid w:val="006F16EE"/>
    <w:rsid w:val="007571EC"/>
    <w:rsid w:val="007829A8"/>
    <w:rsid w:val="007971B3"/>
    <w:rsid w:val="008D64FF"/>
    <w:rsid w:val="00984F63"/>
    <w:rsid w:val="00A41FFA"/>
    <w:rsid w:val="00AB64E9"/>
    <w:rsid w:val="00B10289"/>
    <w:rsid w:val="00B72E02"/>
    <w:rsid w:val="00C73998"/>
    <w:rsid w:val="00D23AF9"/>
    <w:rsid w:val="00DB2BE9"/>
    <w:rsid w:val="00DB6A34"/>
    <w:rsid w:val="00DF2D73"/>
    <w:rsid w:val="00E41E1D"/>
    <w:rsid w:val="00E75012"/>
    <w:rsid w:val="00E76B8C"/>
    <w:rsid w:val="00E9253A"/>
    <w:rsid w:val="00ED2B86"/>
    <w:rsid w:val="00EE22ED"/>
    <w:rsid w:val="00F3161F"/>
    <w:rsid w:val="00FC18C1"/>
  </w:rsids>
  <m:mathPr>
    <m:mathFont m:val="Cambria Math"/>
    <m:brkBin m:val="before"/>
    <m:brkBinSub m:val="--"/>
    <m:smallFrac/>
    <m:dispDef/>
    <m:lMargin m:val="576"/>
    <m:rMargin m:val="576"/>
    <m:defJc m:val="left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6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5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65DA"/>
    <w:rPr>
      <w:color w:val="808080"/>
    </w:rPr>
  </w:style>
  <w:style w:type="table" w:styleId="Grilledutableau">
    <w:name w:val="Table Grid"/>
    <w:basedOn w:val="TableauNormal"/>
    <w:uiPriority w:val="59"/>
    <w:rsid w:val="001B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97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1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1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1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6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5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65DA"/>
    <w:rPr>
      <w:color w:val="808080"/>
    </w:rPr>
  </w:style>
  <w:style w:type="table" w:styleId="Grilledutableau">
    <w:name w:val="Table Grid"/>
    <w:basedOn w:val="TableauNormal"/>
    <w:uiPriority w:val="59"/>
    <w:rsid w:val="001B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97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1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1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1943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</dc:creator>
  <cp:keywords/>
  <dc:description/>
  <cp:lastModifiedBy> Vincent RICOMET</cp:lastModifiedBy>
  <cp:revision>6</cp:revision>
  <dcterms:created xsi:type="dcterms:W3CDTF">2012-02-29T20:41:00Z</dcterms:created>
  <dcterms:modified xsi:type="dcterms:W3CDTF">2012-03-01T07:57:00Z</dcterms:modified>
</cp:coreProperties>
</file>