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159" w:rsidRPr="00181527" w:rsidRDefault="00965613">
      <w:pPr>
        <w:spacing w:after="5"/>
        <w:ind w:left="816"/>
        <w:rPr>
          <w:b/>
          <w:sz w:val="20"/>
        </w:rPr>
      </w:pPr>
      <w:r w:rsidRPr="00181527">
        <w:rPr>
          <w:b/>
          <w:color w:val="17818E"/>
          <w:sz w:val="20"/>
        </w:rPr>
        <w:t>Tennis de table Bac pro (référentiel rénové 2017)</w:t>
      </w:r>
      <w:bookmarkStart w:id="0" w:name="_GoBack"/>
      <w:bookmarkEnd w:id="0"/>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140"/>
        <w:gridCol w:w="1135"/>
        <w:gridCol w:w="113"/>
        <w:gridCol w:w="848"/>
        <w:gridCol w:w="2878"/>
        <w:gridCol w:w="3871"/>
        <w:gridCol w:w="250"/>
        <w:gridCol w:w="886"/>
        <w:gridCol w:w="1139"/>
        <w:gridCol w:w="1136"/>
        <w:gridCol w:w="1247"/>
      </w:tblGrid>
      <w:tr w:rsidR="00E01159" w:rsidTr="00C11EA5">
        <w:trPr>
          <w:trHeight w:val="194"/>
        </w:trPr>
        <w:tc>
          <w:tcPr>
            <w:tcW w:w="3126" w:type="dxa"/>
            <w:gridSpan w:val="3"/>
          </w:tcPr>
          <w:p w:rsidR="00E01159" w:rsidRDefault="00965613">
            <w:pPr>
              <w:pStyle w:val="TableParagraph"/>
              <w:spacing w:line="186" w:lineRule="exact"/>
              <w:ind w:left="583"/>
              <w:rPr>
                <w:sz w:val="18"/>
              </w:rPr>
            </w:pPr>
            <w:r>
              <w:rPr>
                <w:color w:val="17818E"/>
                <w:sz w:val="18"/>
              </w:rPr>
              <w:t>Compétences attendues</w:t>
            </w:r>
          </w:p>
        </w:tc>
        <w:tc>
          <w:tcPr>
            <w:tcW w:w="12368" w:type="dxa"/>
            <w:gridSpan w:val="9"/>
          </w:tcPr>
          <w:p w:rsidR="00E01159" w:rsidRDefault="00965613">
            <w:pPr>
              <w:pStyle w:val="TableParagraph"/>
              <w:spacing w:line="186" w:lineRule="exact"/>
              <w:ind w:left="4719" w:right="4718"/>
              <w:jc w:val="center"/>
              <w:rPr>
                <w:sz w:val="18"/>
              </w:rPr>
            </w:pPr>
            <w:r>
              <w:rPr>
                <w:color w:val="17818E"/>
                <w:sz w:val="18"/>
              </w:rPr>
              <w:t>Principes d’élaboration de l’épreuve</w:t>
            </w:r>
          </w:p>
        </w:tc>
      </w:tr>
      <w:tr w:rsidR="00E01159" w:rsidRPr="00181527" w:rsidTr="00C11EA5">
        <w:trPr>
          <w:trHeight w:val="2261"/>
        </w:trPr>
        <w:tc>
          <w:tcPr>
            <w:tcW w:w="3126" w:type="dxa"/>
            <w:gridSpan w:val="3"/>
          </w:tcPr>
          <w:p w:rsidR="00E01159" w:rsidRPr="00181527" w:rsidRDefault="00E01159">
            <w:pPr>
              <w:pStyle w:val="TableParagraph"/>
              <w:rPr>
                <w:b/>
                <w:sz w:val="18"/>
              </w:rPr>
            </w:pPr>
          </w:p>
          <w:p w:rsidR="00E01159" w:rsidRPr="00181527" w:rsidRDefault="00E01159">
            <w:pPr>
              <w:pStyle w:val="TableParagraph"/>
              <w:rPr>
                <w:b/>
                <w:sz w:val="18"/>
              </w:rPr>
            </w:pPr>
          </w:p>
          <w:p w:rsidR="00E01159" w:rsidRPr="00181527" w:rsidRDefault="00965613">
            <w:pPr>
              <w:pStyle w:val="TableParagraph"/>
              <w:spacing w:before="131"/>
              <w:ind w:left="107"/>
              <w:rPr>
                <w:b/>
                <w:sz w:val="16"/>
              </w:rPr>
            </w:pPr>
            <w:r w:rsidRPr="00181527">
              <w:rPr>
                <w:b/>
                <w:sz w:val="16"/>
              </w:rPr>
              <w:t>Niveau 4 :</w:t>
            </w:r>
          </w:p>
          <w:p w:rsidR="00E01159" w:rsidRPr="00181527" w:rsidRDefault="00965613">
            <w:pPr>
              <w:pStyle w:val="TableParagraph"/>
              <w:spacing w:before="2"/>
              <w:ind w:left="107" w:right="135"/>
              <w:rPr>
                <w:sz w:val="16"/>
              </w:rPr>
            </w:pPr>
            <w:r w:rsidRPr="00181527">
              <w:rPr>
                <w:sz w:val="16"/>
              </w:rPr>
              <w:t>Faire des choix tactiques pour gagner le point en adaptant particulièrement son déplacement afin de produire des frappes variées (balles placées, accélérées et présentant un début de rotation).</w:t>
            </w:r>
          </w:p>
        </w:tc>
        <w:tc>
          <w:tcPr>
            <w:tcW w:w="12368" w:type="dxa"/>
            <w:gridSpan w:val="9"/>
          </w:tcPr>
          <w:p w:rsidR="00E01159" w:rsidRPr="00181527" w:rsidRDefault="00965613">
            <w:pPr>
              <w:pStyle w:val="TableParagraph"/>
              <w:ind w:left="106" w:right="102"/>
              <w:jc w:val="both"/>
              <w:rPr>
                <w:sz w:val="16"/>
              </w:rPr>
            </w:pPr>
            <w:r w:rsidRPr="00181527">
              <w:rPr>
                <w:sz w:val="16"/>
              </w:rPr>
              <w:t xml:space="preserve">Les matchs se jouent en deux sets de 11 points. Les règles essentielles sont celles du tennis de table. Chaque candidat(e) dispute plusieurs matchs contre des adversaires de niveau proche dans des poules homogènes (1). </w:t>
            </w:r>
            <w:r w:rsidRPr="00181527">
              <w:rPr>
                <w:b/>
                <w:sz w:val="16"/>
              </w:rPr>
              <w:t xml:space="preserve">Le positionnement du niveau de jeu </w:t>
            </w:r>
            <w:r w:rsidRPr="00181527">
              <w:rPr>
                <w:sz w:val="16"/>
              </w:rPr>
              <w:t>du candidat (</w:t>
            </w:r>
            <w:r w:rsidRPr="00181527">
              <w:rPr>
                <w:b/>
                <w:sz w:val="16"/>
              </w:rPr>
              <w:t xml:space="preserve">item 1 </w:t>
            </w:r>
            <w:r w:rsidRPr="00181527">
              <w:rPr>
                <w:sz w:val="16"/>
              </w:rPr>
              <w:t xml:space="preserve">: Qualité des techniques au service de la tactique) </w:t>
            </w:r>
            <w:r w:rsidRPr="00181527">
              <w:rPr>
                <w:b/>
                <w:sz w:val="16"/>
              </w:rPr>
              <w:t>est la 1ère étape de l’évaluation</w:t>
            </w:r>
            <w:r w:rsidRPr="00181527">
              <w:rPr>
                <w:sz w:val="16"/>
              </w:rPr>
              <w:t>, déterminante pour la suite et l’attribution des points. « La pertinence et l’efficacité des choix stratégiques dans la gestion du rapport de force » (</w:t>
            </w:r>
            <w:r w:rsidRPr="00181527">
              <w:rPr>
                <w:b/>
                <w:sz w:val="16"/>
              </w:rPr>
              <w:t>item 2</w:t>
            </w:r>
            <w:r w:rsidRPr="00181527">
              <w:rPr>
                <w:sz w:val="16"/>
              </w:rPr>
              <w:t xml:space="preserve">) sera appréciée au regard de l’évolution du score entre les 2 sets de chaque match réalisé au sein de la poule, avec une échelle de points déterminée par le niveau de jeu du candidat préalablement identifié. Les points sont répartis selon les 6 cas </w:t>
            </w:r>
            <w:r w:rsidRPr="00181527">
              <w:rPr>
                <w:spacing w:val="3"/>
                <w:sz w:val="16"/>
              </w:rPr>
              <w:t xml:space="preserve">de </w:t>
            </w:r>
            <w:r w:rsidRPr="00181527">
              <w:rPr>
                <w:sz w:val="16"/>
              </w:rPr>
              <w:t>figure répertoriés. La note finale sur 5 obtenue pour cet item résulte de la moyenne des notes obtenues à chaque match. « Le gain des matchs » (</w:t>
            </w:r>
            <w:r w:rsidRPr="00181527">
              <w:rPr>
                <w:b/>
                <w:sz w:val="16"/>
              </w:rPr>
              <w:t>item 3</w:t>
            </w:r>
            <w:r w:rsidRPr="00181527">
              <w:rPr>
                <w:sz w:val="16"/>
              </w:rPr>
              <w:t xml:space="preserve">) sera apprécié à l’issue des matchs. Deux classements différents sont effectués : un classement général, </w:t>
            </w:r>
            <w:r w:rsidRPr="00181527">
              <w:rPr>
                <w:sz w:val="16"/>
                <w:u w:val="single"/>
              </w:rPr>
              <w:t>filles et garçons séparés</w:t>
            </w:r>
            <w:r w:rsidRPr="00181527">
              <w:rPr>
                <w:sz w:val="16"/>
              </w:rPr>
              <w:t>, et un classement au sein de chaque poule (mixte ou</w:t>
            </w:r>
            <w:r w:rsidRPr="00181527">
              <w:rPr>
                <w:spacing w:val="-16"/>
                <w:sz w:val="16"/>
              </w:rPr>
              <w:t xml:space="preserve"> </w:t>
            </w:r>
            <w:r w:rsidRPr="00181527">
              <w:rPr>
                <w:sz w:val="16"/>
              </w:rPr>
              <w:t>non).</w:t>
            </w:r>
          </w:p>
          <w:p w:rsidR="00E01159" w:rsidRPr="00181527" w:rsidRDefault="00965613">
            <w:pPr>
              <w:pStyle w:val="TableParagraph"/>
              <w:spacing w:before="4"/>
              <w:ind w:left="106" w:right="104"/>
              <w:jc w:val="both"/>
              <w:rPr>
                <w:sz w:val="16"/>
              </w:rPr>
            </w:pPr>
            <w:r w:rsidRPr="00181527">
              <w:rPr>
                <w:sz w:val="16"/>
              </w:rPr>
              <w:t>Remarques : (1) A propos du principe d’équilibre du rapport de force : Pour que les compétences attendues soient révélées, les candidats qui se rencontrent doivent être de niveau homogène (rapport de force équilibré).Ainsi, filles et garçons peuvent être évalués au sein d’une même poule. Il faut cependant veiller à ce que le niveau des candidates filles soit apprécié et évalué en fonction de celui des autres filles (tout comme les candidats garçons).</w:t>
            </w:r>
          </w:p>
          <w:p w:rsidR="00E01159" w:rsidRPr="00181527" w:rsidRDefault="00965613">
            <w:pPr>
              <w:pStyle w:val="TableParagraph"/>
              <w:spacing w:line="184" w:lineRule="exact"/>
              <w:ind w:left="106" w:right="362"/>
              <w:rPr>
                <w:sz w:val="16"/>
              </w:rPr>
            </w:pPr>
            <w:r w:rsidRPr="00181527">
              <w:rPr>
                <w:sz w:val="16"/>
              </w:rPr>
              <w:t xml:space="preserve">(2) Veiller à </w:t>
            </w:r>
            <w:r w:rsidRPr="00181527">
              <w:rPr>
                <w:b/>
                <w:sz w:val="16"/>
              </w:rPr>
              <w:t xml:space="preserve">valoriser de manière équitable </w:t>
            </w:r>
            <w:r w:rsidRPr="00181527">
              <w:rPr>
                <w:sz w:val="16"/>
              </w:rPr>
              <w:t>des registres ou des styles de jeu qui peuvent être différents (attaque/défense ; placement/accélération ; coupé/lifté…). Les évaluateurs ont la responsabilité de tenir compte de ces différences dans les appréciations qualitatives et le passage à la note. Les appréciations et notes sont attribuées sans comparer les prestations des filles avec celles des garçons.</w:t>
            </w:r>
          </w:p>
        </w:tc>
      </w:tr>
      <w:tr w:rsidR="00E01159" w:rsidRPr="00181527" w:rsidTr="00C11EA5">
        <w:trPr>
          <w:trHeight w:val="345"/>
        </w:trPr>
        <w:tc>
          <w:tcPr>
            <w:tcW w:w="851" w:type="dxa"/>
          </w:tcPr>
          <w:p w:rsidR="00E01159" w:rsidRDefault="00965613">
            <w:pPr>
              <w:pStyle w:val="TableParagraph"/>
              <w:spacing w:line="178" w:lineRule="exact"/>
              <w:ind w:left="112"/>
              <w:rPr>
                <w:b/>
                <w:sz w:val="16"/>
              </w:rPr>
            </w:pPr>
            <w:r>
              <w:rPr>
                <w:b/>
                <w:sz w:val="16"/>
              </w:rPr>
              <w:t>Points à</w:t>
            </w:r>
          </w:p>
          <w:p w:rsidR="00E01159" w:rsidRDefault="00965613">
            <w:pPr>
              <w:pStyle w:val="TableParagraph"/>
              <w:spacing w:before="1" w:line="168" w:lineRule="exact"/>
              <w:ind w:left="134"/>
              <w:rPr>
                <w:b/>
                <w:sz w:val="16"/>
              </w:rPr>
            </w:pPr>
            <w:r>
              <w:rPr>
                <w:b/>
                <w:sz w:val="16"/>
              </w:rPr>
              <w:t>affecter</w:t>
            </w:r>
          </w:p>
        </w:tc>
        <w:tc>
          <w:tcPr>
            <w:tcW w:w="2274" w:type="dxa"/>
            <w:gridSpan w:val="2"/>
          </w:tcPr>
          <w:p w:rsidR="00E01159" w:rsidRDefault="00965613">
            <w:pPr>
              <w:pStyle w:val="TableParagraph"/>
              <w:spacing w:before="85"/>
              <w:ind w:left="407"/>
              <w:rPr>
                <w:b/>
                <w:sz w:val="16"/>
              </w:rPr>
            </w:pPr>
            <w:r>
              <w:rPr>
                <w:b/>
                <w:sz w:val="16"/>
              </w:rPr>
              <w:t>Éléments à évaluer</w:t>
            </w:r>
          </w:p>
        </w:tc>
        <w:tc>
          <w:tcPr>
            <w:tcW w:w="3839" w:type="dxa"/>
            <w:gridSpan w:val="3"/>
          </w:tcPr>
          <w:p w:rsidR="00E01159" w:rsidRPr="00181527" w:rsidRDefault="00965613">
            <w:pPr>
              <w:pStyle w:val="TableParagraph"/>
              <w:spacing w:line="178" w:lineRule="exact"/>
              <w:ind w:left="694" w:right="686"/>
              <w:jc w:val="center"/>
              <w:rPr>
                <w:b/>
                <w:sz w:val="16"/>
              </w:rPr>
            </w:pPr>
            <w:r w:rsidRPr="00181527">
              <w:rPr>
                <w:b/>
                <w:sz w:val="16"/>
              </w:rPr>
              <w:t>Niveau 4 en cours d’acquisition</w:t>
            </w:r>
          </w:p>
          <w:p w:rsidR="00E01159" w:rsidRPr="00181527" w:rsidRDefault="00965613">
            <w:pPr>
              <w:pStyle w:val="TableParagraph"/>
              <w:spacing w:before="3" w:line="166" w:lineRule="exact"/>
              <w:ind w:left="694" w:right="685"/>
              <w:jc w:val="center"/>
              <w:rPr>
                <w:sz w:val="16"/>
              </w:rPr>
            </w:pPr>
            <w:r w:rsidRPr="00181527">
              <w:rPr>
                <w:sz w:val="16"/>
              </w:rPr>
              <w:t>de 0 à 9 points</w:t>
            </w:r>
          </w:p>
        </w:tc>
        <w:tc>
          <w:tcPr>
            <w:tcW w:w="8528" w:type="dxa"/>
            <w:gridSpan w:val="6"/>
          </w:tcPr>
          <w:p w:rsidR="00E01159" w:rsidRPr="00181527" w:rsidRDefault="00965613">
            <w:pPr>
              <w:pStyle w:val="TableParagraph"/>
              <w:spacing w:line="178" w:lineRule="exact"/>
              <w:ind w:left="3027" w:right="3021"/>
              <w:jc w:val="center"/>
              <w:rPr>
                <w:b/>
                <w:sz w:val="16"/>
              </w:rPr>
            </w:pPr>
            <w:r w:rsidRPr="00181527">
              <w:rPr>
                <w:b/>
                <w:sz w:val="16"/>
              </w:rPr>
              <w:t>Degré d’acquisition du niveau 4</w:t>
            </w:r>
          </w:p>
          <w:p w:rsidR="00E01159" w:rsidRPr="00181527" w:rsidRDefault="00965613">
            <w:pPr>
              <w:pStyle w:val="TableParagraph"/>
              <w:spacing w:before="3" w:line="166" w:lineRule="exact"/>
              <w:ind w:left="3026" w:right="3021"/>
              <w:jc w:val="center"/>
              <w:rPr>
                <w:sz w:val="16"/>
              </w:rPr>
            </w:pPr>
            <w:r w:rsidRPr="00181527">
              <w:rPr>
                <w:sz w:val="16"/>
              </w:rPr>
              <w:t>de 10 à 20 points</w:t>
            </w:r>
          </w:p>
        </w:tc>
      </w:tr>
      <w:tr w:rsidR="00E01159" w:rsidTr="00C11EA5">
        <w:trPr>
          <w:trHeight w:val="2957"/>
        </w:trPr>
        <w:tc>
          <w:tcPr>
            <w:tcW w:w="851" w:type="dxa"/>
          </w:tcPr>
          <w:p w:rsidR="00E01159" w:rsidRPr="00181527" w:rsidRDefault="00E01159">
            <w:pPr>
              <w:pStyle w:val="TableParagraph"/>
              <w:rPr>
                <w:b/>
                <w:sz w:val="18"/>
              </w:rPr>
            </w:pPr>
          </w:p>
          <w:p w:rsidR="00E01159" w:rsidRPr="00181527" w:rsidRDefault="00E01159">
            <w:pPr>
              <w:pStyle w:val="TableParagraph"/>
              <w:rPr>
                <w:b/>
                <w:sz w:val="18"/>
              </w:rPr>
            </w:pPr>
          </w:p>
          <w:p w:rsidR="00E01159" w:rsidRPr="00181527" w:rsidRDefault="00E01159">
            <w:pPr>
              <w:pStyle w:val="TableParagraph"/>
              <w:rPr>
                <w:b/>
                <w:sz w:val="18"/>
              </w:rPr>
            </w:pPr>
          </w:p>
          <w:p w:rsidR="00E01159" w:rsidRPr="00181527" w:rsidRDefault="00E01159">
            <w:pPr>
              <w:pStyle w:val="TableParagraph"/>
              <w:rPr>
                <w:b/>
                <w:sz w:val="18"/>
              </w:rPr>
            </w:pPr>
          </w:p>
          <w:p w:rsidR="00E01159" w:rsidRPr="00181527" w:rsidRDefault="00E01159">
            <w:pPr>
              <w:pStyle w:val="TableParagraph"/>
              <w:rPr>
                <w:b/>
                <w:sz w:val="18"/>
              </w:rPr>
            </w:pPr>
          </w:p>
          <w:p w:rsidR="00E01159" w:rsidRPr="00181527" w:rsidRDefault="00E01159">
            <w:pPr>
              <w:pStyle w:val="TableParagraph"/>
              <w:rPr>
                <w:b/>
                <w:sz w:val="18"/>
              </w:rPr>
            </w:pPr>
          </w:p>
          <w:p w:rsidR="00E01159" w:rsidRDefault="00965613">
            <w:pPr>
              <w:pStyle w:val="TableParagraph"/>
              <w:spacing w:before="132"/>
              <w:ind w:left="163" w:right="154"/>
              <w:jc w:val="center"/>
              <w:rPr>
                <w:b/>
                <w:sz w:val="16"/>
              </w:rPr>
            </w:pPr>
            <w:r>
              <w:rPr>
                <w:b/>
                <w:sz w:val="16"/>
              </w:rPr>
              <w:t>10</w:t>
            </w:r>
          </w:p>
          <w:p w:rsidR="00E01159" w:rsidRDefault="00965613">
            <w:pPr>
              <w:pStyle w:val="TableParagraph"/>
              <w:ind w:left="165" w:right="154"/>
              <w:jc w:val="center"/>
              <w:rPr>
                <w:b/>
                <w:sz w:val="16"/>
              </w:rPr>
            </w:pPr>
            <w:r>
              <w:rPr>
                <w:b/>
                <w:sz w:val="16"/>
              </w:rPr>
              <w:t>points</w:t>
            </w:r>
          </w:p>
        </w:tc>
        <w:tc>
          <w:tcPr>
            <w:tcW w:w="2274" w:type="dxa"/>
            <w:gridSpan w:val="2"/>
          </w:tcPr>
          <w:p w:rsidR="00E01159" w:rsidRPr="00181527" w:rsidRDefault="00E01159">
            <w:pPr>
              <w:pStyle w:val="TableParagraph"/>
              <w:rPr>
                <w:b/>
                <w:sz w:val="18"/>
              </w:rPr>
            </w:pPr>
          </w:p>
          <w:p w:rsidR="00E01159" w:rsidRPr="00181527" w:rsidRDefault="00E01159">
            <w:pPr>
              <w:pStyle w:val="TableParagraph"/>
              <w:rPr>
                <w:b/>
                <w:sz w:val="18"/>
              </w:rPr>
            </w:pPr>
          </w:p>
          <w:p w:rsidR="00E01159" w:rsidRPr="00181527" w:rsidRDefault="00E01159">
            <w:pPr>
              <w:pStyle w:val="TableParagraph"/>
              <w:rPr>
                <w:b/>
                <w:sz w:val="18"/>
              </w:rPr>
            </w:pPr>
          </w:p>
          <w:p w:rsidR="00E01159" w:rsidRPr="00181527" w:rsidRDefault="00965613">
            <w:pPr>
              <w:pStyle w:val="TableParagraph"/>
              <w:spacing w:before="109"/>
              <w:ind w:left="140" w:right="132"/>
              <w:jc w:val="center"/>
              <w:rPr>
                <w:b/>
                <w:sz w:val="16"/>
              </w:rPr>
            </w:pPr>
            <w:r w:rsidRPr="00181527">
              <w:rPr>
                <w:b/>
                <w:sz w:val="16"/>
              </w:rPr>
              <w:t>Qualité des techniques au service de la tactique</w:t>
            </w:r>
          </w:p>
          <w:p w:rsidR="00E01159" w:rsidRPr="00181527" w:rsidRDefault="00E01159">
            <w:pPr>
              <w:pStyle w:val="TableParagraph"/>
              <w:spacing w:before="1"/>
              <w:rPr>
                <w:b/>
                <w:sz w:val="16"/>
              </w:rPr>
            </w:pPr>
          </w:p>
          <w:p w:rsidR="00E01159" w:rsidRPr="00181527" w:rsidRDefault="00965613">
            <w:pPr>
              <w:pStyle w:val="TableParagraph"/>
              <w:ind w:left="140" w:right="131"/>
              <w:jc w:val="center"/>
              <w:rPr>
                <w:sz w:val="16"/>
              </w:rPr>
            </w:pPr>
            <w:r w:rsidRPr="00181527">
              <w:rPr>
                <w:sz w:val="16"/>
              </w:rPr>
              <w:t>Variété, qualité et efficacité des frappes</w:t>
            </w:r>
          </w:p>
          <w:p w:rsidR="00E01159" w:rsidRPr="00181527" w:rsidRDefault="00E01159">
            <w:pPr>
              <w:pStyle w:val="TableParagraph"/>
              <w:spacing w:before="10"/>
              <w:rPr>
                <w:b/>
                <w:sz w:val="15"/>
              </w:rPr>
            </w:pPr>
          </w:p>
          <w:p w:rsidR="00E01159" w:rsidRPr="00181527" w:rsidRDefault="00965613">
            <w:pPr>
              <w:pStyle w:val="TableParagraph"/>
              <w:ind w:left="137" w:right="132"/>
              <w:jc w:val="center"/>
              <w:rPr>
                <w:sz w:val="16"/>
              </w:rPr>
            </w:pPr>
            <w:r w:rsidRPr="00181527">
              <w:rPr>
                <w:sz w:val="16"/>
              </w:rPr>
              <w:t>Rapidité et équilibre des placements, déplacements et replacements</w:t>
            </w:r>
          </w:p>
        </w:tc>
        <w:tc>
          <w:tcPr>
            <w:tcW w:w="3839" w:type="dxa"/>
            <w:gridSpan w:val="3"/>
            <w:tcBorders>
              <w:bottom w:val="single" w:sz="8" w:space="0" w:color="000000"/>
            </w:tcBorders>
          </w:tcPr>
          <w:p w:rsidR="00E01159" w:rsidRPr="00181527" w:rsidRDefault="00E01159">
            <w:pPr>
              <w:pStyle w:val="TableParagraph"/>
              <w:rPr>
                <w:b/>
                <w:sz w:val="18"/>
              </w:rPr>
            </w:pPr>
          </w:p>
          <w:p w:rsidR="00E01159" w:rsidRPr="00181527" w:rsidRDefault="00E01159">
            <w:pPr>
              <w:pStyle w:val="TableParagraph"/>
              <w:spacing w:before="6"/>
              <w:rPr>
                <w:b/>
                <w:sz w:val="21"/>
              </w:rPr>
            </w:pPr>
          </w:p>
          <w:p w:rsidR="00E01159" w:rsidRPr="00181527" w:rsidRDefault="00965613">
            <w:pPr>
              <w:pStyle w:val="TableParagraph"/>
              <w:ind w:left="694" w:right="683"/>
              <w:jc w:val="center"/>
              <w:rPr>
                <w:b/>
                <w:sz w:val="16"/>
              </w:rPr>
            </w:pPr>
            <w:r w:rsidRPr="00181527">
              <w:rPr>
                <w:b/>
                <w:sz w:val="16"/>
              </w:rPr>
              <w:t>0 à 4,75 points</w:t>
            </w:r>
          </w:p>
          <w:p w:rsidR="00E01159" w:rsidRPr="00181527" w:rsidRDefault="00965613">
            <w:pPr>
              <w:pStyle w:val="TableParagraph"/>
              <w:ind w:left="106" w:right="93"/>
              <w:rPr>
                <w:sz w:val="16"/>
              </w:rPr>
            </w:pPr>
            <w:r w:rsidRPr="00181527">
              <w:rPr>
                <w:sz w:val="16"/>
              </w:rPr>
              <w:t xml:space="preserve">Pour gagner l’échange le candidat(e) </w:t>
            </w:r>
            <w:r w:rsidRPr="00181527">
              <w:rPr>
                <w:b/>
                <w:sz w:val="16"/>
              </w:rPr>
              <w:t xml:space="preserve">utilise prioritairement un type de stratégie </w:t>
            </w:r>
            <w:r w:rsidRPr="00181527">
              <w:rPr>
                <w:sz w:val="16"/>
              </w:rPr>
              <w:t>: placement, accélération, jeu défensif</w:t>
            </w:r>
          </w:p>
          <w:p w:rsidR="00E01159" w:rsidRPr="00181527" w:rsidRDefault="00965613">
            <w:pPr>
              <w:pStyle w:val="TableParagraph"/>
              <w:ind w:left="106" w:right="110"/>
              <w:rPr>
                <w:sz w:val="16"/>
              </w:rPr>
            </w:pPr>
            <w:r w:rsidRPr="00181527">
              <w:rPr>
                <w:sz w:val="16"/>
              </w:rPr>
              <w:t>Le candidat utilise des coups, en coup droit et en revers, en fonction de son placement par rapport à la balle.</w:t>
            </w:r>
          </w:p>
          <w:p w:rsidR="00E01159" w:rsidRPr="00181527" w:rsidRDefault="00E01159">
            <w:pPr>
              <w:pStyle w:val="TableParagraph"/>
              <w:spacing w:before="10"/>
              <w:rPr>
                <w:b/>
                <w:sz w:val="15"/>
              </w:rPr>
            </w:pPr>
          </w:p>
          <w:p w:rsidR="00E01159" w:rsidRPr="00181527" w:rsidRDefault="00965613">
            <w:pPr>
              <w:pStyle w:val="TableParagraph"/>
              <w:ind w:left="106" w:right="173"/>
              <w:rPr>
                <w:sz w:val="16"/>
              </w:rPr>
            </w:pPr>
            <w:r w:rsidRPr="00181527">
              <w:rPr>
                <w:sz w:val="16"/>
              </w:rPr>
              <w:t>Le service, par ses variations de placement ou de vitesse met l’adversaire en difficulté.</w:t>
            </w:r>
          </w:p>
          <w:p w:rsidR="00E01159" w:rsidRPr="00181527" w:rsidRDefault="00E01159">
            <w:pPr>
              <w:pStyle w:val="TableParagraph"/>
              <w:spacing w:before="10"/>
              <w:rPr>
                <w:b/>
                <w:sz w:val="15"/>
              </w:rPr>
            </w:pPr>
          </w:p>
          <w:p w:rsidR="00E01159" w:rsidRDefault="00965613">
            <w:pPr>
              <w:pStyle w:val="TableParagraph"/>
              <w:ind w:left="694" w:right="682"/>
              <w:jc w:val="center"/>
              <w:rPr>
                <w:b/>
                <w:i/>
                <w:sz w:val="16"/>
              </w:rPr>
            </w:pPr>
            <w:r>
              <w:rPr>
                <w:b/>
                <w:i/>
                <w:sz w:val="16"/>
              </w:rPr>
              <w:t>Niveau A</w:t>
            </w:r>
          </w:p>
        </w:tc>
        <w:tc>
          <w:tcPr>
            <w:tcW w:w="4121" w:type="dxa"/>
            <w:gridSpan w:val="2"/>
            <w:tcBorders>
              <w:bottom w:val="single" w:sz="8" w:space="0" w:color="000000"/>
            </w:tcBorders>
          </w:tcPr>
          <w:p w:rsidR="00E01159" w:rsidRPr="00181527" w:rsidRDefault="00965613">
            <w:pPr>
              <w:pStyle w:val="TableParagraph"/>
              <w:spacing w:line="178" w:lineRule="exact"/>
              <w:ind w:left="1484" w:right="1475"/>
              <w:jc w:val="center"/>
              <w:rPr>
                <w:b/>
                <w:sz w:val="16"/>
              </w:rPr>
            </w:pPr>
            <w:r w:rsidRPr="00181527">
              <w:rPr>
                <w:b/>
                <w:sz w:val="16"/>
              </w:rPr>
              <w:t>5 à 7,75 points</w:t>
            </w:r>
          </w:p>
          <w:p w:rsidR="00E01159" w:rsidRPr="00181527" w:rsidRDefault="00965613">
            <w:pPr>
              <w:pStyle w:val="TableParagraph"/>
              <w:spacing w:before="3"/>
              <w:ind w:left="109" w:right="344"/>
              <w:rPr>
                <w:sz w:val="16"/>
              </w:rPr>
            </w:pPr>
            <w:r w:rsidRPr="00181527">
              <w:rPr>
                <w:sz w:val="16"/>
              </w:rPr>
              <w:t>Pour gagner l’échange, le candidat(e) met en place une stratégie de jeu qui peut prendre des formes différentes (jeu placé/accéléré ; coupé/lifté ; défense/attaque, etc.)</w:t>
            </w:r>
          </w:p>
          <w:p w:rsidR="00E01159" w:rsidRPr="00181527" w:rsidRDefault="00965613">
            <w:pPr>
              <w:pStyle w:val="TableParagraph"/>
              <w:spacing w:line="182" w:lineRule="exact"/>
              <w:ind w:left="109"/>
              <w:rPr>
                <w:sz w:val="16"/>
              </w:rPr>
            </w:pPr>
            <w:r w:rsidRPr="00181527">
              <w:rPr>
                <w:sz w:val="16"/>
              </w:rPr>
              <w:t>Dans les moments d’équilibre du rapport de force :</w:t>
            </w:r>
          </w:p>
          <w:p w:rsidR="00E01159" w:rsidRPr="00181527" w:rsidRDefault="00965613">
            <w:pPr>
              <w:pStyle w:val="TableParagraph"/>
              <w:ind w:left="109"/>
              <w:rPr>
                <w:sz w:val="16"/>
              </w:rPr>
            </w:pPr>
            <w:r w:rsidRPr="00181527">
              <w:rPr>
                <w:sz w:val="16"/>
              </w:rPr>
              <w:t xml:space="preserve">Le candidat recherche </w:t>
            </w:r>
            <w:r w:rsidRPr="00181527">
              <w:rPr>
                <w:b/>
                <w:sz w:val="16"/>
              </w:rPr>
              <w:t xml:space="preserve">systématiquement </w:t>
            </w:r>
            <w:r w:rsidRPr="00181527">
              <w:rPr>
                <w:sz w:val="16"/>
              </w:rPr>
              <w:t>la création d’une situation favorable de marque en utilisant principalement le placement de la balle ou son accélération, un début de rotation apparaît : balles coupée (rotation arrière) ou liftées (rotation avant).</w:t>
            </w:r>
          </w:p>
          <w:p w:rsidR="00E01159" w:rsidRPr="00181527" w:rsidRDefault="00965613">
            <w:pPr>
              <w:pStyle w:val="TableParagraph"/>
              <w:spacing w:before="3"/>
              <w:ind w:left="109" w:right="130"/>
              <w:rPr>
                <w:sz w:val="16"/>
              </w:rPr>
            </w:pPr>
            <w:r w:rsidRPr="00181527">
              <w:rPr>
                <w:sz w:val="16"/>
              </w:rPr>
              <w:t>Le candidat(e) varie le placement, la vitesse et/ou l’effet du service. Il prend l’avantage dans le jeu dès le service ou sur le retour du service.</w:t>
            </w:r>
          </w:p>
          <w:p w:rsidR="00E01159" w:rsidRPr="00181527" w:rsidRDefault="00965613">
            <w:pPr>
              <w:pStyle w:val="TableParagraph"/>
              <w:ind w:left="109" w:right="495"/>
              <w:rPr>
                <w:sz w:val="16"/>
              </w:rPr>
            </w:pPr>
            <w:r w:rsidRPr="00181527">
              <w:rPr>
                <w:sz w:val="16"/>
              </w:rPr>
              <w:t>Le candidat(e) se déplace pour utiliser ses coups préférentiels</w:t>
            </w:r>
          </w:p>
          <w:p w:rsidR="00E01159" w:rsidRDefault="00965613">
            <w:pPr>
              <w:pStyle w:val="TableParagraph"/>
              <w:spacing w:line="168" w:lineRule="exact"/>
              <w:ind w:left="1484" w:right="1475"/>
              <w:jc w:val="center"/>
              <w:rPr>
                <w:b/>
                <w:i/>
                <w:sz w:val="16"/>
              </w:rPr>
            </w:pPr>
            <w:r>
              <w:rPr>
                <w:b/>
                <w:i/>
                <w:sz w:val="16"/>
              </w:rPr>
              <w:t>Niveau B</w:t>
            </w:r>
          </w:p>
        </w:tc>
        <w:tc>
          <w:tcPr>
            <w:tcW w:w="4407" w:type="dxa"/>
            <w:gridSpan w:val="4"/>
          </w:tcPr>
          <w:p w:rsidR="00E01159" w:rsidRPr="00181527" w:rsidRDefault="00965613">
            <w:pPr>
              <w:pStyle w:val="TableParagraph"/>
              <w:spacing w:line="178" w:lineRule="exact"/>
              <w:ind w:left="1691" w:right="1686"/>
              <w:jc w:val="center"/>
              <w:rPr>
                <w:b/>
                <w:sz w:val="16"/>
              </w:rPr>
            </w:pPr>
            <w:r w:rsidRPr="00181527">
              <w:rPr>
                <w:b/>
                <w:sz w:val="16"/>
              </w:rPr>
              <w:t>8 à 10 points</w:t>
            </w:r>
          </w:p>
          <w:p w:rsidR="00E01159" w:rsidRPr="00181527" w:rsidRDefault="00965613">
            <w:pPr>
              <w:pStyle w:val="TableParagraph"/>
              <w:spacing w:before="1"/>
              <w:ind w:left="106" w:right="178"/>
              <w:rPr>
                <w:sz w:val="16"/>
              </w:rPr>
            </w:pPr>
            <w:r w:rsidRPr="00181527">
              <w:rPr>
                <w:sz w:val="16"/>
              </w:rPr>
              <w:t xml:space="preserve">Pour gagner l’échange le candidat(e) </w:t>
            </w:r>
            <w:r w:rsidRPr="00181527">
              <w:rPr>
                <w:b/>
                <w:sz w:val="16"/>
              </w:rPr>
              <w:t xml:space="preserve">combine plusieurs stratégies </w:t>
            </w:r>
            <w:r w:rsidRPr="00181527">
              <w:rPr>
                <w:sz w:val="16"/>
              </w:rPr>
              <w:t>pour faire basculer le rapport de force à son avantage.</w:t>
            </w:r>
          </w:p>
          <w:p w:rsidR="00E01159" w:rsidRPr="00181527" w:rsidRDefault="00965613">
            <w:pPr>
              <w:pStyle w:val="TableParagraph"/>
              <w:spacing w:before="1"/>
              <w:ind w:left="106" w:right="676"/>
              <w:rPr>
                <w:sz w:val="16"/>
              </w:rPr>
            </w:pPr>
            <w:r w:rsidRPr="00181527">
              <w:rPr>
                <w:sz w:val="16"/>
              </w:rPr>
              <w:t>Deux types de jeu, valorisés de manière équitable, peuvent apparaitre:</w:t>
            </w:r>
          </w:p>
          <w:p w:rsidR="00E01159" w:rsidRPr="00181527" w:rsidRDefault="00965613">
            <w:pPr>
              <w:pStyle w:val="TableParagraph"/>
              <w:ind w:left="106" w:right="134"/>
              <w:rPr>
                <w:sz w:val="16"/>
              </w:rPr>
            </w:pPr>
            <w:r w:rsidRPr="00181527">
              <w:rPr>
                <w:sz w:val="16"/>
              </w:rPr>
              <w:t>-soit les déplacements sont suffisamment équilibrés et efficaces pour prendre l’initiative (frappes ou accélérations placée) ou jouer contre l’initiative adverse (blocs, balles coupées).</w:t>
            </w:r>
          </w:p>
          <w:p w:rsidR="00E01159" w:rsidRPr="00181527" w:rsidRDefault="00965613">
            <w:pPr>
              <w:pStyle w:val="TableParagraph"/>
              <w:spacing w:before="2"/>
              <w:ind w:left="106" w:right="392"/>
              <w:rPr>
                <w:sz w:val="16"/>
              </w:rPr>
            </w:pPr>
            <w:r w:rsidRPr="00181527">
              <w:rPr>
                <w:sz w:val="16"/>
              </w:rPr>
              <w:t xml:space="preserve">-soit les déplacements sont suffisamment rapides pour jouer proche ou loin de la table afin de défendre, d’attaquer (smash, top spin), </w:t>
            </w:r>
            <w:r w:rsidRPr="00181527">
              <w:rPr>
                <w:b/>
                <w:sz w:val="16"/>
                <w:u w:val="single"/>
              </w:rPr>
              <w:t>ou</w:t>
            </w:r>
            <w:r w:rsidRPr="00181527">
              <w:rPr>
                <w:b/>
                <w:sz w:val="16"/>
              </w:rPr>
              <w:t xml:space="preserve"> </w:t>
            </w:r>
            <w:r w:rsidRPr="00181527">
              <w:rPr>
                <w:sz w:val="16"/>
              </w:rPr>
              <w:t>contre attaquer (blocs actifs, top sur tops ou contre tops).</w:t>
            </w:r>
          </w:p>
          <w:p w:rsidR="00E01159" w:rsidRPr="00181527" w:rsidRDefault="00965613">
            <w:pPr>
              <w:pStyle w:val="TableParagraph"/>
              <w:spacing w:before="1"/>
              <w:ind w:left="106" w:right="489"/>
              <w:rPr>
                <w:sz w:val="16"/>
              </w:rPr>
            </w:pPr>
            <w:r w:rsidRPr="00181527">
              <w:rPr>
                <w:sz w:val="16"/>
              </w:rPr>
              <w:t>Les rotations de balle sont différenciées au service et pendant l’échange</w:t>
            </w:r>
          </w:p>
          <w:p w:rsidR="00E01159" w:rsidRDefault="00965613">
            <w:pPr>
              <w:pStyle w:val="TableParagraph"/>
              <w:spacing w:before="1" w:line="168" w:lineRule="exact"/>
              <w:ind w:left="1689" w:right="1686"/>
              <w:jc w:val="center"/>
              <w:rPr>
                <w:b/>
                <w:i/>
                <w:sz w:val="16"/>
              </w:rPr>
            </w:pPr>
            <w:r>
              <w:rPr>
                <w:b/>
                <w:i/>
                <w:sz w:val="16"/>
              </w:rPr>
              <w:t>Niveau C</w:t>
            </w:r>
          </w:p>
        </w:tc>
      </w:tr>
      <w:tr w:rsidR="00E01159" w:rsidTr="00C11EA5">
        <w:trPr>
          <w:trHeight w:val="173"/>
        </w:trPr>
        <w:tc>
          <w:tcPr>
            <w:tcW w:w="851" w:type="dxa"/>
            <w:vMerge w:val="restart"/>
          </w:tcPr>
          <w:p w:rsidR="00E01159" w:rsidRDefault="00E01159">
            <w:pPr>
              <w:pStyle w:val="TableParagraph"/>
              <w:rPr>
                <w:b/>
                <w:sz w:val="18"/>
              </w:rPr>
            </w:pPr>
          </w:p>
          <w:p w:rsidR="00E01159" w:rsidRDefault="00E01159">
            <w:pPr>
              <w:pStyle w:val="TableParagraph"/>
              <w:rPr>
                <w:b/>
                <w:sz w:val="18"/>
              </w:rPr>
            </w:pPr>
          </w:p>
          <w:p w:rsidR="00E01159" w:rsidRDefault="00E01159">
            <w:pPr>
              <w:pStyle w:val="TableParagraph"/>
              <w:rPr>
                <w:b/>
                <w:sz w:val="18"/>
              </w:rPr>
            </w:pPr>
          </w:p>
          <w:p w:rsidR="00E01159" w:rsidRDefault="00965613">
            <w:pPr>
              <w:pStyle w:val="TableParagraph"/>
              <w:spacing w:before="138"/>
              <w:ind w:left="117"/>
              <w:rPr>
                <w:b/>
                <w:sz w:val="16"/>
              </w:rPr>
            </w:pPr>
            <w:r>
              <w:rPr>
                <w:b/>
                <w:sz w:val="16"/>
              </w:rPr>
              <w:t>5 points</w:t>
            </w:r>
          </w:p>
        </w:tc>
        <w:tc>
          <w:tcPr>
            <w:tcW w:w="2274" w:type="dxa"/>
            <w:gridSpan w:val="2"/>
            <w:vMerge w:val="restart"/>
          </w:tcPr>
          <w:p w:rsidR="00E01159" w:rsidRPr="00181527" w:rsidRDefault="00E01159">
            <w:pPr>
              <w:pStyle w:val="TableParagraph"/>
              <w:rPr>
                <w:b/>
                <w:sz w:val="18"/>
              </w:rPr>
            </w:pPr>
          </w:p>
          <w:p w:rsidR="00E01159" w:rsidRPr="00181527" w:rsidRDefault="00E01159">
            <w:pPr>
              <w:pStyle w:val="TableParagraph"/>
              <w:rPr>
                <w:b/>
                <w:sz w:val="18"/>
              </w:rPr>
            </w:pPr>
          </w:p>
          <w:p w:rsidR="00E01159" w:rsidRPr="00181527" w:rsidRDefault="00965613">
            <w:pPr>
              <w:pStyle w:val="TableParagraph"/>
              <w:spacing w:before="161"/>
              <w:ind w:left="176" w:right="166" w:hanging="1"/>
              <w:jc w:val="center"/>
              <w:rPr>
                <w:b/>
                <w:sz w:val="16"/>
              </w:rPr>
            </w:pPr>
            <w:r w:rsidRPr="00181527">
              <w:rPr>
                <w:b/>
                <w:sz w:val="16"/>
              </w:rPr>
              <w:t>Efficacité des choix stratégiques et engagement dans le duel</w:t>
            </w:r>
          </w:p>
        </w:tc>
        <w:tc>
          <w:tcPr>
            <w:tcW w:w="113" w:type="dxa"/>
            <w:vMerge w:val="restart"/>
            <w:tcBorders>
              <w:bottom w:val="nil"/>
            </w:tcBorders>
          </w:tcPr>
          <w:p w:rsidR="00E01159" w:rsidRPr="00181527" w:rsidRDefault="00E01159">
            <w:pPr>
              <w:pStyle w:val="TableParagraph"/>
              <w:rPr>
                <w:rFonts w:ascii="Times New Roman"/>
                <w:sz w:val="16"/>
              </w:rPr>
            </w:pPr>
          </w:p>
        </w:tc>
        <w:tc>
          <w:tcPr>
            <w:tcW w:w="7597" w:type="dxa"/>
            <w:gridSpan w:val="3"/>
            <w:tcBorders>
              <w:top w:val="single" w:sz="8" w:space="0" w:color="000000"/>
            </w:tcBorders>
          </w:tcPr>
          <w:p w:rsidR="00E01159" w:rsidRPr="00181527" w:rsidRDefault="00965613">
            <w:pPr>
              <w:pStyle w:val="TableParagraph"/>
              <w:spacing w:line="164" w:lineRule="exact"/>
              <w:ind w:left="2466"/>
              <w:rPr>
                <w:b/>
                <w:sz w:val="16"/>
              </w:rPr>
            </w:pPr>
            <w:r w:rsidRPr="00181527">
              <w:rPr>
                <w:b/>
                <w:sz w:val="16"/>
              </w:rPr>
              <w:t>Évolution du score entre les 2 sets</w:t>
            </w:r>
          </w:p>
        </w:tc>
        <w:tc>
          <w:tcPr>
            <w:tcW w:w="1136" w:type="dxa"/>
            <w:gridSpan w:val="2"/>
            <w:tcBorders>
              <w:top w:val="single" w:sz="8" w:space="0" w:color="000000"/>
            </w:tcBorders>
          </w:tcPr>
          <w:p w:rsidR="00E01159" w:rsidRDefault="00965613">
            <w:pPr>
              <w:pStyle w:val="TableParagraph"/>
              <w:spacing w:line="164" w:lineRule="exact"/>
              <w:ind w:left="222"/>
              <w:rPr>
                <w:b/>
                <w:sz w:val="16"/>
              </w:rPr>
            </w:pPr>
            <w:r>
              <w:rPr>
                <w:b/>
                <w:sz w:val="16"/>
              </w:rPr>
              <w:t>Niveau A</w:t>
            </w:r>
          </w:p>
        </w:tc>
        <w:tc>
          <w:tcPr>
            <w:tcW w:w="1139" w:type="dxa"/>
            <w:tcBorders>
              <w:top w:val="single" w:sz="8" w:space="0" w:color="000000"/>
            </w:tcBorders>
          </w:tcPr>
          <w:p w:rsidR="00E01159" w:rsidRDefault="00965613">
            <w:pPr>
              <w:pStyle w:val="TableParagraph"/>
              <w:spacing w:line="164" w:lineRule="exact"/>
              <w:ind w:left="201" w:right="200"/>
              <w:jc w:val="center"/>
              <w:rPr>
                <w:b/>
                <w:sz w:val="16"/>
              </w:rPr>
            </w:pPr>
            <w:r>
              <w:rPr>
                <w:b/>
                <w:sz w:val="16"/>
              </w:rPr>
              <w:t>Niveau B</w:t>
            </w:r>
          </w:p>
        </w:tc>
        <w:tc>
          <w:tcPr>
            <w:tcW w:w="1136" w:type="dxa"/>
            <w:tcBorders>
              <w:top w:val="single" w:sz="8" w:space="0" w:color="000000"/>
            </w:tcBorders>
          </w:tcPr>
          <w:p w:rsidR="00E01159" w:rsidRDefault="00965613">
            <w:pPr>
              <w:pStyle w:val="TableParagraph"/>
              <w:spacing w:line="164" w:lineRule="exact"/>
              <w:ind w:left="200" w:right="198"/>
              <w:jc w:val="center"/>
              <w:rPr>
                <w:b/>
                <w:sz w:val="16"/>
              </w:rPr>
            </w:pPr>
            <w:r>
              <w:rPr>
                <w:b/>
                <w:sz w:val="16"/>
              </w:rPr>
              <w:t>Niveau C</w:t>
            </w:r>
          </w:p>
        </w:tc>
        <w:tc>
          <w:tcPr>
            <w:tcW w:w="1244" w:type="dxa"/>
            <w:vMerge w:val="restart"/>
            <w:tcBorders>
              <w:bottom w:val="nil"/>
            </w:tcBorders>
          </w:tcPr>
          <w:p w:rsidR="00E01159" w:rsidRDefault="00E01159">
            <w:pPr>
              <w:pStyle w:val="TableParagraph"/>
              <w:rPr>
                <w:rFonts w:ascii="Times New Roman"/>
                <w:sz w:val="16"/>
              </w:rPr>
            </w:pPr>
          </w:p>
        </w:tc>
      </w:tr>
      <w:tr w:rsidR="00E01159" w:rsidTr="00C11EA5">
        <w:trPr>
          <w:trHeight w:val="171"/>
        </w:trPr>
        <w:tc>
          <w:tcPr>
            <w:tcW w:w="851" w:type="dxa"/>
            <w:vMerge/>
            <w:tcBorders>
              <w:top w:val="nil"/>
            </w:tcBorders>
          </w:tcPr>
          <w:p w:rsidR="00E01159" w:rsidRDefault="00E01159">
            <w:pPr>
              <w:rPr>
                <w:sz w:val="2"/>
                <w:szCs w:val="2"/>
              </w:rPr>
            </w:pPr>
          </w:p>
        </w:tc>
        <w:tc>
          <w:tcPr>
            <w:tcW w:w="2274" w:type="dxa"/>
            <w:gridSpan w:val="2"/>
            <w:vMerge/>
            <w:tcBorders>
              <w:top w:val="nil"/>
            </w:tcBorders>
          </w:tcPr>
          <w:p w:rsidR="00E01159" w:rsidRDefault="00E01159">
            <w:pPr>
              <w:rPr>
                <w:sz w:val="2"/>
                <w:szCs w:val="2"/>
              </w:rPr>
            </w:pPr>
          </w:p>
        </w:tc>
        <w:tc>
          <w:tcPr>
            <w:tcW w:w="113" w:type="dxa"/>
            <w:vMerge/>
            <w:tcBorders>
              <w:top w:val="nil"/>
              <w:bottom w:val="nil"/>
            </w:tcBorders>
          </w:tcPr>
          <w:p w:rsidR="00E01159" w:rsidRDefault="00E01159">
            <w:pPr>
              <w:rPr>
                <w:sz w:val="2"/>
                <w:szCs w:val="2"/>
              </w:rPr>
            </w:pPr>
          </w:p>
        </w:tc>
        <w:tc>
          <w:tcPr>
            <w:tcW w:w="848" w:type="dxa"/>
          </w:tcPr>
          <w:p w:rsidR="00E01159" w:rsidRDefault="00965613">
            <w:pPr>
              <w:pStyle w:val="TableParagraph"/>
              <w:spacing w:line="162" w:lineRule="exact"/>
              <w:ind w:left="137" w:right="134"/>
              <w:jc w:val="center"/>
              <w:rPr>
                <w:b/>
                <w:sz w:val="16"/>
              </w:rPr>
            </w:pPr>
            <w:r>
              <w:rPr>
                <w:b/>
                <w:sz w:val="16"/>
              </w:rPr>
              <w:t>Cas 6 :</w:t>
            </w:r>
          </w:p>
        </w:tc>
        <w:tc>
          <w:tcPr>
            <w:tcW w:w="6748" w:type="dxa"/>
            <w:gridSpan w:val="2"/>
          </w:tcPr>
          <w:p w:rsidR="00E01159" w:rsidRPr="00181527" w:rsidRDefault="00965613">
            <w:pPr>
              <w:pStyle w:val="TableParagraph"/>
              <w:spacing w:line="162" w:lineRule="exact"/>
              <w:ind w:left="68"/>
              <w:rPr>
                <w:sz w:val="16"/>
              </w:rPr>
            </w:pPr>
            <w:r w:rsidRPr="00181527">
              <w:rPr>
                <w:sz w:val="16"/>
              </w:rPr>
              <w:t>Gagne les 2 sets en augmentant l’écart sur le second set</w:t>
            </w:r>
          </w:p>
        </w:tc>
        <w:tc>
          <w:tcPr>
            <w:tcW w:w="1136" w:type="dxa"/>
            <w:gridSpan w:val="2"/>
          </w:tcPr>
          <w:p w:rsidR="00E01159" w:rsidRDefault="00965613">
            <w:pPr>
              <w:pStyle w:val="TableParagraph"/>
              <w:spacing w:line="162" w:lineRule="exact"/>
              <w:ind w:left="200" w:right="196"/>
              <w:jc w:val="center"/>
              <w:rPr>
                <w:sz w:val="16"/>
              </w:rPr>
            </w:pPr>
            <w:r>
              <w:rPr>
                <w:sz w:val="16"/>
              </w:rPr>
              <w:t>3,5</w:t>
            </w:r>
          </w:p>
        </w:tc>
        <w:tc>
          <w:tcPr>
            <w:tcW w:w="1139" w:type="dxa"/>
          </w:tcPr>
          <w:p w:rsidR="00E01159" w:rsidRDefault="00965613">
            <w:pPr>
              <w:pStyle w:val="TableParagraph"/>
              <w:spacing w:line="162" w:lineRule="exact"/>
              <w:ind w:left="200" w:right="200"/>
              <w:jc w:val="center"/>
              <w:rPr>
                <w:sz w:val="16"/>
              </w:rPr>
            </w:pPr>
            <w:r>
              <w:rPr>
                <w:sz w:val="16"/>
              </w:rPr>
              <w:t>4,5</w:t>
            </w:r>
          </w:p>
        </w:tc>
        <w:tc>
          <w:tcPr>
            <w:tcW w:w="1136" w:type="dxa"/>
          </w:tcPr>
          <w:p w:rsidR="00E01159" w:rsidRDefault="00965613">
            <w:pPr>
              <w:pStyle w:val="TableParagraph"/>
              <w:spacing w:line="162" w:lineRule="exact"/>
              <w:jc w:val="center"/>
              <w:rPr>
                <w:sz w:val="16"/>
              </w:rPr>
            </w:pPr>
            <w:r>
              <w:rPr>
                <w:sz w:val="16"/>
              </w:rPr>
              <w:t>5</w:t>
            </w:r>
          </w:p>
        </w:tc>
        <w:tc>
          <w:tcPr>
            <w:tcW w:w="1244" w:type="dxa"/>
            <w:vMerge/>
            <w:tcBorders>
              <w:top w:val="nil"/>
              <w:bottom w:val="nil"/>
            </w:tcBorders>
          </w:tcPr>
          <w:p w:rsidR="00E01159" w:rsidRDefault="00E01159">
            <w:pPr>
              <w:rPr>
                <w:sz w:val="2"/>
                <w:szCs w:val="2"/>
              </w:rPr>
            </w:pPr>
          </w:p>
        </w:tc>
      </w:tr>
      <w:tr w:rsidR="00E01159" w:rsidTr="00C11EA5">
        <w:trPr>
          <w:trHeight w:val="173"/>
        </w:trPr>
        <w:tc>
          <w:tcPr>
            <w:tcW w:w="851" w:type="dxa"/>
            <w:vMerge/>
            <w:tcBorders>
              <w:top w:val="nil"/>
            </w:tcBorders>
          </w:tcPr>
          <w:p w:rsidR="00E01159" w:rsidRDefault="00E01159">
            <w:pPr>
              <w:rPr>
                <w:sz w:val="2"/>
                <w:szCs w:val="2"/>
              </w:rPr>
            </w:pPr>
          </w:p>
        </w:tc>
        <w:tc>
          <w:tcPr>
            <w:tcW w:w="2274" w:type="dxa"/>
            <w:gridSpan w:val="2"/>
            <w:vMerge/>
            <w:tcBorders>
              <w:top w:val="nil"/>
            </w:tcBorders>
          </w:tcPr>
          <w:p w:rsidR="00E01159" w:rsidRDefault="00E01159">
            <w:pPr>
              <w:rPr>
                <w:sz w:val="2"/>
                <w:szCs w:val="2"/>
              </w:rPr>
            </w:pPr>
          </w:p>
        </w:tc>
        <w:tc>
          <w:tcPr>
            <w:tcW w:w="113" w:type="dxa"/>
            <w:vMerge/>
            <w:tcBorders>
              <w:top w:val="nil"/>
              <w:bottom w:val="nil"/>
            </w:tcBorders>
          </w:tcPr>
          <w:p w:rsidR="00E01159" w:rsidRDefault="00E01159">
            <w:pPr>
              <w:rPr>
                <w:sz w:val="2"/>
                <w:szCs w:val="2"/>
              </w:rPr>
            </w:pPr>
          </w:p>
        </w:tc>
        <w:tc>
          <w:tcPr>
            <w:tcW w:w="848" w:type="dxa"/>
          </w:tcPr>
          <w:p w:rsidR="00E01159" w:rsidRDefault="00965613">
            <w:pPr>
              <w:pStyle w:val="TableParagraph"/>
              <w:spacing w:line="164" w:lineRule="exact"/>
              <w:ind w:left="137" w:right="134"/>
              <w:jc w:val="center"/>
              <w:rPr>
                <w:b/>
                <w:sz w:val="16"/>
              </w:rPr>
            </w:pPr>
            <w:r>
              <w:rPr>
                <w:b/>
                <w:sz w:val="16"/>
              </w:rPr>
              <w:t>Cas 5 :</w:t>
            </w:r>
          </w:p>
        </w:tc>
        <w:tc>
          <w:tcPr>
            <w:tcW w:w="6748" w:type="dxa"/>
            <w:gridSpan w:val="2"/>
          </w:tcPr>
          <w:p w:rsidR="00E01159" w:rsidRPr="00181527" w:rsidRDefault="00965613">
            <w:pPr>
              <w:pStyle w:val="TableParagraph"/>
              <w:spacing w:line="164" w:lineRule="exact"/>
              <w:ind w:left="68"/>
              <w:rPr>
                <w:sz w:val="16"/>
              </w:rPr>
            </w:pPr>
            <w:r w:rsidRPr="00181527">
              <w:rPr>
                <w:sz w:val="16"/>
              </w:rPr>
              <w:t>Gagne les 2 sets avec dans le 2</w:t>
            </w:r>
            <w:r w:rsidRPr="00181527">
              <w:rPr>
                <w:sz w:val="16"/>
                <w:vertAlign w:val="superscript"/>
              </w:rPr>
              <w:t>e</w:t>
            </w:r>
            <w:r w:rsidRPr="00181527">
              <w:rPr>
                <w:sz w:val="16"/>
              </w:rPr>
              <w:t xml:space="preserve"> set un écart de points inférieur ou égal à celui du 1er set</w:t>
            </w:r>
          </w:p>
        </w:tc>
        <w:tc>
          <w:tcPr>
            <w:tcW w:w="1136" w:type="dxa"/>
            <w:gridSpan w:val="2"/>
          </w:tcPr>
          <w:p w:rsidR="00E01159" w:rsidRDefault="00965613">
            <w:pPr>
              <w:pStyle w:val="TableParagraph"/>
              <w:spacing w:line="164" w:lineRule="exact"/>
              <w:ind w:left="4"/>
              <w:jc w:val="center"/>
              <w:rPr>
                <w:sz w:val="16"/>
              </w:rPr>
            </w:pPr>
            <w:r>
              <w:rPr>
                <w:sz w:val="16"/>
              </w:rPr>
              <w:t>3</w:t>
            </w:r>
          </w:p>
        </w:tc>
        <w:tc>
          <w:tcPr>
            <w:tcW w:w="1139" w:type="dxa"/>
          </w:tcPr>
          <w:p w:rsidR="00E01159" w:rsidRDefault="00965613">
            <w:pPr>
              <w:pStyle w:val="TableParagraph"/>
              <w:spacing w:line="164" w:lineRule="exact"/>
              <w:jc w:val="center"/>
              <w:rPr>
                <w:sz w:val="16"/>
              </w:rPr>
            </w:pPr>
            <w:r>
              <w:rPr>
                <w:sz w:val="16"/>
              </w:rPr>
              <w:t>4</w:t>
            </w:r>
          </w:p>
        </w:tc>
        <w:tc>
          <w:tcPr>
            <w:tcW w:w="1136" w:type="dxa"/>
          </w:tcPr>
          <w:p w:rsidR="00E01159" w:rsidRDefault="00965613">
            <w:pPr>
              <w:pStyle w:val="TableParagraph"/>
              <w:spacing w:line="164" w:lineRule="exact"/>
              <w:ind w:left="200" w:right="198"/>
              <w:jc w:val="center"/>
              <w:rPr>
                <w:sz w:val="16"/>
              </w:rPr>
            </w:pPr>
            <w:r>
              <w:rPr>
                <w:sz w:val="16"/>
              </w:rPr>
              <w:t>4,75</w:t>
            </w:r>
          </w:p>
        </w:tc>
        <w:tc>
          <w:tcPr>
            <w:tcW w:w="1244" w:type="dxa"/>
            <w:vMerge/>
            <w:tcBorders>
              <w:top w:val="nil"/>
              <w:bottom w:val="nil"/>
            </w:tcBorders>
          </w:tcPr>
          <w:p w:rsidR="00E01159" w:rsidRDefault="00E01159">
            <w:pPr>
              <w:rPr>
                <w:sz w:val="2"/>
                <w:szCs w:val="2"/>
              </w:rPr>
            </w:pPr>
          </w:p>
        </w:tc>
      </w:tr>
      <w:tr w:rsidR="00E01159" w:rsidTr="00C11EA5">
        <w:trPr>
          <w:trHeight w:val="173"/>
        </w:trPr>
        <w:tc>
          <w:tcPr>
            <w:tcW w:w="851" w:type="dxa"/>
            <w:vMerge/>
            <w:tcBorders>
              <w:top w:val="nil"/>
            </w:tcBorders>
          </w:tcPr>
          <w:p w:rsidR="00E01159" w:rsidRDefault="00E01159">
            <w:pPr>
              <w:rPr>
                <w:sz w:val="2"/>
                <w:szCs w:val="2"/>
              </w:rPr>
            </w:pPr>
          </w:p>
        </w:tc>
        <w:tc>
          <w:tcPr>
            <w:tcW w:w="2274" w:type="dxa"/>
            <w:gridSpan w:val="2"/>
            <w:vMerge/>
            <w:tcBorders>
              <w:top w:val="nil"/>
            </w:tcBorders>
          </w:tcPr>
          <w:p w:rsidR="00E01159" w:rsidRDefault="00E01159">
            <w:pPr>
              <w:rPr>
                <w:sz w:val="2"/>
                <w:szCs w:val="2"/>
              </w:rPr>
            </w:pPr>
          </w:p>
        </w:tc>
        <w:tc>
          <w:tcPr>
            <w:tcW w:w="113" w:type="dxa"/>
            <w:vMerge/>
            <w:tcBorders>
              <w:top w:val="nil"/>
              <w:bottom w:val="nil"/>
            </w:tcBorders>
          </w:tcPr>
          <w:p w:rsidR="00E01159" w:rsidRDefault="00E01159">
            <w:pPr>
              <w:rPr>
                <w:sz w:val="2"/>
                <w:szCs w:val="2"/>
              </w:rPr>
            </w:pPr>
          </w:p>
        </w:tc>
        <w:tc>
          <w:tcPr>
            <w:tcW w:w="848" w:type="dxa"/>
          </w:tcPr>
          <w:p w:rsidR="00E01159" w:rsidRDefault="00965613">
            <w:pPr>
              <w:pStyle w:val="TableParagraph"/>
              <w:spacing w:line="165" w:lineRule="exact"/>
              <w:ind w:left="137" w:right="134"/>
              <w:jc w:val="center"/>
              <w:rPr>
                <w:b/>
                <w:sz w:val="16"/>
              </w:rPr>
            </w:pPr>
            <w:r>
              <w:rPr>
                <w:b/>
                <w:sz w:val="16"/>
              </w:rPr>
              <w:t>Cas 4 :</w:t>
            </w:r>
          </w:p>
        </w:tc>
        <w:tc>
          <w:tcPr>
            <w:tcW w:w="6748" w:type="dxa"/>
            <w:gridSpan w:val="2"/>
          </w:tcPr>
          <w:p w:rsidR="00E01159" w:rsidRPr="00181527" w:rsidRDefault="00965613">
            <w:pPr>
              <w:pStyle w:val="TableParagraph"/>
              <w:spacing w:line="165" w:lineRule="exact"/>
              <w:ind w:left="68"/>
              <w:rPr>
                <w:sz w:val="16"/>
              </w:rPr>
            </w:pPr>
            <w:r w:rsidRPr="00181527">
              <w:rPr>
                <w:sz w:val="16"/>
              </w:rPr>
              <w:t>Gagne le second set après avoir perdu le 1</w:t>
            </w:r>
            <w:r w:rsidRPr="00181527">
              <w:rPr>
                <w:sz w:val="16"/>
                <w:vertAlign w:val="superscript"/>
              </w:rPr>
              <w:t>er</w:t>
            </w:r>
          </w:p>
        </w:tc>
        <w:tc>
          <w:tcPr>
            <w:tcW w:w="1136" w:type="dxa"/>
            <w:gridSpan w:val="2"/>
          </w:tcPr>
          <w:p w:rsidR="00E01159" w:rsidRDefault="00965613">
            <w:pPr>
              <w:pStyle w:val="TableParagraph"/>
              <w:spacing w:line="165" w:lineRule="exact"/>
              <w:ind w:left="200" w:right="196"/>
              <w:jc w:val="center"/>
              <w:rPr>
                <w:sz w:val="16"/>
              </w:rPr>
            </w:pPr>
            <w:r>
              <w:rPr>
                <w:sz w:val="16"/>
              </w:rPr>
              <w:t>2,5</w:t>
            </w:r>
          </w:p>
        </w:tc>
        <w:tc>
          <w:tcPr>
            <w:tcW w:w="1139" w:type="dxa"/>
          </w:tcPr>
          <w:p w:rsidR="00E01159" w:rsidRDefault="00965613">
            <w:pPr>
              <w:pStyle w:val="TableParagraph"/>
              <w:spacing w:line="165" w:lineRule="exact"/>
              <w:ind w:left="200" w:right="200"/>
              <w:jc w:val="center"/>
              <w:rPr>
                <w:sz w:val="16"/>
              </w:rPr>
            </w:pPr>
            <w:r>
              <w:rPr>
                <w:sz w:val="16"/>
              </w:rPr>
              <w:t>3,5</w:t>
            </w:r>
          </w:p>
        </w:tc>
        <w:tc>
          <w:tcPr>
            <w:tcW w:w="1136" w:type="dxa"/>
          </w:tcPr>
          <w:p w:rsidR="00E01159" w:rsidRDefault="00965613">
            <w:pPr>
              <w:pStyle w:val="TableParagraph"/>
              <w:spacing w:line="165" w:lineRule="exact"/>
              <w:ind w:left="198" w:right="198"/>
              <w:jc w:val="center"/>
              <w:rPr>
                <w:sz w:val="16"/>
              </w:rPr>
            </w:pPr>
            <w:r>
              <w:rPr>
                <w:sz w:val="16"/>
              </w:rPr>
              <w:t>4,5</w:t>
            </w:r>
          </w:p>
        </w:tc>
        <w:tc>
          <w:tcPr>
            <w:tcW w:w="1244" w:type="dxa"/>
            <w:vMerge/>
            <w:tcBorders>
              <w:top w:val="nil"/>
              <w:bottom w:val="nil"/>
            </w:tcBorders>
          </w:tcPr>
          <w:p w:rsidR="00E01159" w:rsidRDefault="00E01159">
            <w:pPr>
              <w:rPr>
                <w:sz w:val="2"/>
                <w:szCs w:val="2"/>
              </w:rPr>
            </w:pPr>
          </w:p>
        </w:tc>
      </w:tr>
      <w:tr w:rsidR="00E01159" w:rsidTr="00C11EA5">
        <w:trPr>
          <w:trHeight w:val="173"/>
        </w:trPr>
        <w:tc>
          <w:tcPr>
            <w:tcW w:w="851" w:type="dxa"/>
            <w:vMerge/>
            <w:tcBorders>
              <w:top w:val="nil"/>
            </w:tcBorders>
          </w:tcPr>
          <w:p w:rsidR="00E01159" w:rsidRDefault="00E01159">
            <w:pPr>
              <w:rPr>
                <w:sz w:val="2"/>
                <w:szCs w:val="2"/>
              </w:rPr>
            </w:pPr>
          </w:p>
        </w:tc>
        <w:tc>
          <w:tcPr>
            <w:tcW w:w="2274" w:type="dxa"/>
            <w:gridSpan w:val="2"/>
            <w:vMerge/>
            <w:tcBorders>
              <w:top w:val="nil"/>
            </w:tcBorders>
          </w:tcPr>
          <w:p w:rsidR="00E01159" w:rsidRDefault="00E01159">
            <w:pPr>
              <w:rPr>
                <w:sz w:val="2"/>
                <w:szCs w:val="2"/>
              </w:rPr>
            </w:pPr>
          </w:p>
        </w:tc>
        <w:tc>
          <w:tcPr>
            <w:tcW w:w="113" w:type="dxa"/>
            <w:vMerge/>
            <w:tcBorders>
              <w:top w:val="nil"/>
              <w:bottom w:val="nil"/>
            </w:tcBorders>
          </w:tcPr>
          <w:p w:rsidR="00E01159" w:rsidRDefault="00E01159">
            <w:pPr>
              <w:rPr>
                <w:sz w:val="2"/>
                <w:szCs w:val="2"/>
              </w:rPr>
            </w:pPr>
          </w:p>
        </w:tc>
        <w:tc>
          <w:tcPr>
            <w:tcW w:w="848" w:type="dxa"/>
          </w:tcPr>
          <w:p w:rsidR="00E01159" w:rsidRDefault="00965613">
            <w:pPr>
              <w:pStyle w:val="TableParagraph"/>
              <w:spacing w:line="164" w:lineRule="exact"/>
              <w:ind w:left="137" w:right="134"/>
              <w:jc w:val="center"/>
              <w:rPr>
                <w:b/>
                <w:sz w:val="16"/>
              </w:rPr>
            </w:pPr>
            <w:r>
              <w:rPr>
                <w:b/>
                <w:sz w:val="16"/>
              </w:rPr>
              <w:t>Cas 3 :</w:t>
            </w:r>
          </w:p>
        </w:tc>
        <w:tc>
          <w:tcPr>
            <w:tcW w:w="6748" w:type="dxa"/>
            <w:gridSpan w:val="2"/>
          </w:tcPr>
          <w:p w:rsidR="00E01159" w:rsidRPr="00181527" w:rsidRDefault="00965613">
            <w:pPr>
              <w:pStyle w:val="TableParagraph"/>
              <w:spacing w:line="164" w:lineRule="exact"/>
              <w:ind w:left="68"/>
              <w:rPr>
                <w:sz w:val="16"/>
              </w:rPr>
            </w:pPr>
            <w:r w:rsidRPr="00181527">
              <w:rPr>
                <w:sz w:val="16"/>
              </w:rPr>
              <w:t>Perd le second set après avoir gagné le 1</w:t>
            </w:r>
            <w:r w:rsidRPr="00181527">
              <w:rPr>
                <w:sz w:val="16"/>
                <w:vertAlign w:val="superscript"/>
              </w:rPr>
              <w:t>er</w:t>
            </w:r>
          </w:p>
        </w:tc>
        <w:tc>
          <w:tcPr>
            <w:tcW w:w="1136" w:type="dxa"/>
            <w:gridSpan w:val="2"/>
          </w:tcPr>
          <w:p w:rsidR="00E01159" w:rsidRDefault="00965613">
            <w:pPr>
              <w:pStyle w:val="TableParagraph"/>
              <w:spacing w:line="164" w:lineRule="exact"/>
              <w:ind w:left="4"/>
              <w:jc w:val="center"/>
              <w:rPr>
                <w:sz w:val="16"/>
              </w:rPr>
            </w:pPr>
            <w:r>
              <w:rPr>
                <w:sz w:val="16"/>
              </w:rPr>
              <w:t>2</w:t>
            </w:r>
          </w:p>
        </w:tc>
        <w:tc>
          <w:tcPr>
            <w:tcW w:w="1139" w:type="dxa"/>
          </w:tcPr>
          <w:p w:rsidR="00E01159" w:rsidRDefault="00965613">
            <w:pPr>
              <w:pStyle w:val="TableParagraph"/>
              <w:spacing w:line="164" w:lineRule="exact"/>
              <w:jc w:val="center"/>
              <w:rPr>
                <w:sz w:val="16"/>
              </w:rPr>
            </w:pPr>
            <w:r>
              <w:rPr>
                <w:sz w:val="16"/>
              </w:rPr>
              <w:t>3</w:t>
            </w:r>
          </w:p>
        </w:tc>
        <w:tc>
          <w:tcPr>
            <w:tcW w:w="1136" w:type="dxa"/>
          </w:tcPr>
          <w:p w:rsidR="00E01159" w:rsidRDefault="00965613">
            <w:pPr>
              <w:pStyle w:val="TableParagraph"/>
              <w:spacing w:line="164" w:lineRule="exact"/>
              <w:ind w:left="200" w:right="198"/>
              <w:jc w:val="center"/>
              <w:rPr>
                <w:sz w:val="16"/>
              </w:rPr>
            </w:pPr>
            <w:r>
              <w:rPr>
                <w:sz w:val="16"/>
              </w:rPr>
              <w:t>4,25</w:t>
            </w:r>
          </w:p>
        </w:tc>
        <w:tc>
          <w:tcPr>
            <w:tcW w:w="1244" w:type="dxa"/>
            <w:vMerge/>
            <w:tcBorders>
              <w:top w:val="nil"/>
              <w:bottom w:val="nil"/>
            </w:tcBorders>
          </w:tcPr>
          <w:p w:rsidR="00E01159" w:rsidRDefault="00E01159">
            <w:pPr>
              <w:rPr>
                <w:sz w:val="2"/>
                <w:szCs w:val="2"/>
              </w:rPr>
            </w:pPr>
          </w:p>
        </w:tc>
      </w:tr>
      <w:tr w:rsidR="00E01159" w:rsidTr="00C11EA5">
        <w:trPr>
          <w:trHeight w:val="173"/>
        </w:trPr>
        <w:tc>
          <w:tcPr>
            <w:tcW w:w="851" w:type="dxa"/>
            <w:vMerge/>
            <w:tcBorders>
              <w:top w:val="nil"/>
            </w:tcBorders>
          </w:tcPr>
          <w:p w:rsidR="00E01159" w:rsidRDefault="00E01159">
            <w:pPr>
              <w:rPr>
                <w:sz w:val="2"/>
                <w:szCs w:val="2"/>
              </w:rPr>
            </w:pPr>
          </w:p>
        </w:tc>
        <w:tc>
          <w:tcPr>
            <w:tcW w:w="2274" w:type="dxa"/>
            <w:gridSpan w:val="2"/>
            <w:vMerge/>
            <w:tcBorders>
              <w:top w:val="nil"/>
            </w:tcBorders>
          </w:tcPr>
          <w:p w:rsidR="00E01159" w:rsidRDefault="00E01159">
            <w:pPr>
              <w:rPr>
                <w:sz w:val="2"/>
                <w:szCs w:val="2"/>
              </w:rPr>
            </w:pPr>
          </w:p>
        </w:tc>
        <w:tc>
          <w:tcPr>
            <w:tcW w:w="113" w:type="dxa"/>
            <w:vMerge/>
            <w:tcBorders>
              <w:top w:val="nil"/>
              <w:bottom w:val="nil"/>
            </w:tcBorders>
          </w:tcPr>
          <w:p w:rsidR="00E01159" w:rsidRDefault="00E01159">
            <w:pPr>
              <w:rPr>
                <w:sz w:val="2"/>
                <w:szCs w:val="2"/>
              </w:rPr>
            </w:pPr>
          </w:p>
        </w:tc>
        <w:tc>
          <w:tcPr>
            <w:tcW w:w="848" w:type="dxa"/>
          </w:tcPr>
          <w:p w:rsidR="00E01159" w:rsidRDefault="00965613">
            <w:pPr>
              <w:pStyle w:val="TableParagraph"/>
              <w:spacing w:line="164" w:lineRule="exact"/>
              <w:ind w:left="137" w:right="134"/>
              <w:jc w:val="center"/>
              <w:rPr>
                <w:b/>
                <w:sz w:val="16"/>
              </w:rPr>
            </w:pPr>
            <w:r>
              <w:rPr>
                <w:b/>
                <w:sz w:val="16"/>
              </w:rPr>
              <w:t>Cas 2 :</w:t>
            </w:r>
          </w:p>
        </w:tc>
        <w:tc>
          <w:tcPr>
            <w:tcW w:w="6748" w:type="dxa"/>
            <w:gridSpan w:val="2"/>
          </w:tcPr>
          <w:p w:rsidR="00E01159" w:rsidRPr="00181527" w:rsidRDefault="00965613">
            <w:pPr>
              <w:pStyle w:val="TableParagraph"/>
              <w:spacing w:line="164" w:lineRule="exact"/>
              <w:ind w:left="68"/>
              <w:rPr>
                <w:sz w:val="16"/>
              </w:rPr>
            </w:pPr>
            <w:r w:rsidRPr="00181527">
              <w:rPr>
                <w:sz w:val="16"/>
              </w:rPr>
              <w:t>Perd les 2 sets en réduisant l’écart d’au moins 2 points sur le second set.</w:t>
            </w:r>
          </w:p>
        </w:tc>
        <w:tc>
          <w:tcPr>
            <w:tcW w:w="1136" w:type="dxa"/>
            <w:gridSpan w:val="2"/>
          </w:tcPr>
          <w:p w:rsidR="00E01159" w:rsidRDefault="00965613">
            <w:pPr>
              <w:pStyle w:val="TableParagraph"/>
              <w:spacing w:line="164" w:lineRule="exact"/>
              <w:ind w:left="200" w:right="196"/>
              <w:jc w:val="center"/>
              <w:rPr>
                <w:sz w:val="16"/>
              </w:rPr>
            </w:pPr>
            <w:r>
              <w:rPr>
                <w:sz w:val="16"/>
              </w:rPr>
              <w:t>1,5</w:t>
            </w:r>
          </w:p>
        </w:tc>
        <w:tc>
          <w:tcPr>
            <w:tcW w:w="1139" w:type="dxa"/>
          </w:tcPr>
          <w:p w:rsidR="00E01159" w:rsidRDefault="00965613">
            <w:pPr>
              <w:pStyle w:val="TableParagraph"/>
              <w:spacing w:line="164" w:lineRule="exact"/>
              <w:ind w:left="200" w:right="200"/>
              <w:jc w:val="center"/>
              <w:rPr>
                <w:sz w:val="16"/>
              </w:rPr>
            </w:pPr>
            <w:r>
              <w:rPr>
                <w:sz w:val="16"/>
              </w:rPr>
              <w:t>2,5</w:t>
            </w:r>
          </w:p>
        </w:tc>
        <w:tc>
          <w:tcPr>
            <w:tcW w:w="1136" w:type="dxa"/>
          </w:tcPr>
          <w:p w:rsidR="00E01159" w:rsidRDefault="00965613">
            <w:pPr>
              <w:pStyle w:val="TableParagraph"/>
              <w:spacing w:line="164" w:lineRule="exact"/>
              <w:jc w:val="center"/>
              <w:rPr>
                <w:sz w:val="16"/>
              </w:rPr>
            </w:pPr>
            <w:r>
              <w:rPr>
                <w:sz w:val="16"/>
              </w:rPr>
              <w:t>4</w:t>
            </w:r>
          </w:p>
        </w:tc>
        <w:tc>
          <w:tcPr>
            <w:tcW w:w="1244" w:type="dxa"/>
            <w:vMerge/>
            <w:tcBorders>
              <w:top w:val="nil"/>
              <w:bottom w:val="nil"/>
            </w:tcBorders>
          </w:tcPr>
          <w:p w:rsidR="00E01159" w:rsidRDefault="00E01159">
            <w:pPr>
              <w:rPr>
                <w:sz w:val="2"/>
                <w:szCs w:val="2"/>
              </w:rPr>
            </w:pPr>
          </w:p>
        </w:tc>
      </w:tr>
      <w:tr w:rsidR="00E01159" w:rsidTr="00C11EA5">
        <w:trPr>
          <w:trHeight w:val="173"/>
        </w:trPr>
        <w:tc>
          <w:tcPr>
            <w:tcW w:w="851" w:type="dxa"/>
            <w:vMerge/>
            <w:tcBorders>
              <w:top w:val="nil"/>
            </w:tcBorders>
          </w:tcPr>
          <w:p w:rsidR="00E01159" w:rsidRDefault="00E01159">
            <w:pPr>
              <w:rPr>
                <w:sz w:val="2"/>
                <w:szCs w:val="2"/>
              </w:rPr>
            </w:pPr>
          </w:p>
        </w:tc>
        <w:tc>
          <w:tcPr>
            <w:tcW w:w="2274" w:type="dxa"/>
            <w:gridSpan w:val="2"/>
            <w:vMerge/>
            <w:tcBorders>
              <w:top w:val="nil"/>
            </w:tcBorders>
          </w:tcPr>
          <w:p w:rsidR="00E01159" w:rsidRDefault="00E01159">
            <w:pPr>
              <w:rPr>
                <w:sz w:val="2"/>
                <w:szCs w:val="2"/>
              </w:rPr>
            </w:pPr>
          </w:p>
        </w:tc>
        <w:tc>
          <w:tcPr>
            <w:tcW w:w="113" w:type="dxa"/>
            <w:vMerge/>
            <w:tcBorders>
              <w:top w:val="nil"/>
              <w:bottom w:val="nil"/>
            </w:tcBorders>
          </w:tcPr>
          <w:p w:rsidR="00E01159" w:rsidRDefault="00E01159">
            <w:pPr>
              <w:rPr>
                <w:sz w:val="2"/>
                <w:szCs w:val="2"/>
              </w:rPr>
            </w:pPr>
          </w:p>
        </w:tc>
        <w:tc>
          <w:tcPr>
            <w:tcW w:w="848" w:type="dxa"/>
          </w:tcPr>
          <w:p w:rsidR="00E01159" w:rsidRDefault="00965613">
            <w:pPr>
              <w:pStyle w:val="TableParagraph"/>
              <w:spacing w:line="164" w:lineRule="exact"/>
              <w:ind w:left="137" w:right="134"/>
              <w:jc w:val="center"/>
              <w:rPr>
                <w:b/>
                <w:sz w:val="16"/>
              </w:rPr>
            </w:pPr>
            <w:r>
              <w:rPr>
                <w:b/>
                <w:sz w:val="16"/>
              </w:rPr>
              <w:t>Cas 1 :</w:t>
            </w:r>
          </w:p>
        </w:tc>
        <w:tc>
          <w:tcPr>
            <w:tcW w:w="6748" w:type="dxa"/>
            <w:gridSpan w:val="2"/>
          </w:tcPr>
          <w:p w:rsidR="00E01159" w:rsidRPr="00181527" w:rsidRDefault="00965613">
            <w:pPr>
              <w:pStyle w:val="TableParagraph"/>
              <w:spacing w:line="164" w:lineRule="exact"/>
              <w:ind w:left="68"/>
              <w:rPr>
                <w:sz w:val="16"/>
              </w:rPr>
            </w:pPr>
            <w:r w:rsidRPr="00181527">
              <w:rPr>
                <w:sz w:val="16"/>
              </w:rPr>
              <w:t>Perd les 2 sets sans évolution positive du score sur le second set</w:t>
            </w:r>
          </w:p>
        </w:tc>
        <w:tc>
          <w:tcPr>
            <w:tcW w:w="1136" w:type="dxa"/>
            <w:gridSpan w:val="2"/>
          </w:tcPr>
          <w:p w:rsidR="00E01159" w:rsidRDefault="00965613">
            <w:pPr>
              <w:pStyle w:val="TableParagraph"/>
              <w:spacing w:line="164" w:lineRule="exact"/>
              <w:ind w:left="4"/>
              <w:jc w:val="center"/>
              <w:rPr>
                <w:sz w:val="16"/>
              </w:rPr>
            </w:pPr>
            <w:r>
              <w:rPr>
                <w:sz w:val="16"/>
              </w:rPr>
              <w:t>1</w:t>
            </w:r>
          </w:p>
        </w:tc>
        <w:tc>
          <w:tcPr>
            <w:tcW w:w="1139" w:type="dxa"/>
          </w:tcPr>
          <w:p w:rsidR="00E01159" w:rsidRDefault="00965613">
            <w:pPr>
              <w:pStyle w:val="TableParagraph"/>
              <w:spacing w:line="164" w:lineRule="exact"/>
              <w:jc w:val="center"/>
              <w:rPr>
                <w:sz w:val="16"/>
              </w:rPr>
            </w:pPr>
            <w:r>
              <w:rPr>
                <w:sz w:val="16"/>
              </w:rPr>
              <w:t>2</w:t>
            </w:r>
          </w:p>
        </w:tc>
        <w:tc>
          <w:tcPr>
            <w:tcW w:w="1136" w:type="dxa"/>
          </w:tcPr>
          <w:p w:rsidR="00E01159" w:rsidRDefault="00965613">
            <w:pPr>
              <w:pStyle w:val="TableParagraph"/>
              <w:spacing w:line="164" w:lineRule="exact"/>
              <w:ind w:left="198" w:right="198"/>
              <w:jc w:val="center"/>
              <w:rPr>
                <w:sz w:val="16"/>
              </w:rPr>
            </w:pPr>
            <w:r>
              <w:rPr>
                <w:sz w:val="16"/>
              </w:rPr>
              <w:t>3,5</w:t>
            </w:r>
          </w:p>
        </w:tc>
        <w:tc>
          <w:tcPr>
            <w:tcW w:w="1244" w:type="dxa"/>
            <w:vMerge/>
            <w:tcBorders>
              <w:top w:val="nil"/>
              <w:bottom w:val="nil"/>
            </w:tcBorders>
          </w:tcPr>
          <w:p w:rsidR="00E01159" w:rsidRDefault="00E01159">
            <w:pPr>
              <w:rPr>
                <w:sz w:val="2"/>
                <w:szCs w:val="2"/>
              </w:rPr>
            </w:pPr>
          </w:p>
        </w:tc>
      </w:tr>
      <w:tr w:rsidR="00E01159" w:rsidRPr="00181527" w:rsidTr="00C11EA5">
        <w:trPr>
          <w:trHeight w:val="345"/>
        </w:trPr>
        <w:tc>
          <w:tcPr>
            <w:tcW w:w="851" w:type="dxa"/>
            <w:vMerge/>
            <w:tcBorders>
              <w:top w:val="nil"/>
            </w:tcBorders>
          </w:tcPr>
          <w:p w:rsidR="00E01159" w:rsidRDefault="00E01159">
            <w:pPr>
              <w:rPr>
                <w:sz w:val="2"/>
                <w:szCs w:val="2"/>
              </w:rPr>
            </w:pPr>
          </w:p>
        </w:tc>
        <w:tc>
          <w:tcPr>
            <w:tcW w:w="2274" w:type="dxa"/>
            <w:gridSpan w:val="2"/>
            <w:vMerge/>
            <w:tcBorders>
              <w:top w:val="nil"/>
            </w:tcBorders>
          </w:tcPr>
          <w:p w:rsidR="00E01159" w:rsidRDefault="00E01159">
            <w:pPr>
              <w:rPr>
                <w:sz w:val="2"/>
                <w:szCs w:val="2"/>
              </w:rPr>
            </w:pPr>
          </w:p>
        </w:tc>
        <w:tc>
          <w:tcPr>
            <w:tcW w:w="12368" w:type="dxa"/>
            <w:gridSpan w:val="9"/>
            <w:tcBorders>
              <w:top w:val="nil"/>
            </w:tcBorders>
          </w:tcPr>
          <w:p w:rsidR="00E01159" w:rsidRPr="00181527" w:rsidRDefault="00965613">
            <w:pPr>
              <w:pStyle w:val="TableParagraph"/>
              <w:spacing w:line="182" w:lineRule="exact"/>
              <w:ind w:left="106" w:right="103"/>
              <w:rPr>
                <w:sz w:val="16"/>
              </w:rPr>
            </w:pPr>
            <w:r w:rsidRPr="00181527">
              <w:rPr>
                <w:sz w:val="16"/>
              </w:rPr>
              <w:t>Pour chaque match réalisé, l’évolution du score (cas 1 à 6) détermine le nombre de points obtenus en fonction du niveau de jeu du candidat (A, B ou C). La note globale sur 5 résulte de la moyenne des notes ainsi obtenues.</w:t>
            </w:r>
          </w:p>
        </w:tc>
      </w:tr>
      <w:tr w:rsidR="00E01159" w:rsidRPr="00181527" w:rsidTr="00C11EA5">
        <w:trPr>
          <w:trHeight w:val="520"/>
        </w:trPr>
        <w:tc>
          <w:tcPr>
            <w:tcW w:w="851" w:type="dxa"/>
            <w:vMerge w:val="restart"/>
          </w:tcPr>
          <w:p w:rsidR="00E01159" w:rsidRPr="00181527" w:rsidRDefault="00E01159">
            <w:pPr>
              <w:pStyle w:val="TableParagraph"/>
              <w:rPr>
                <w:rFonts w:ascii="Times New Roman"/>
                <w:sz w:val="18"/>
              </w:rPr>
            </w:pPr>
          </w:p>
          <w:p w:rsidR="00E01159" w:rsidRPr="00181527" w:rsidRDefault="00E01159">
            <w:pPr>
              <w:pStyle w:val="TableParagraph"/>
              <w:rPr>
                <w:rFonts w:ascii="Times New Roman"/>
                <w:sz w:val="18"/>
              </w:rPr>
            </w:pPr>
          </w:p>
          <w:p w:rsidR="00E01159" w:rsidRPr="00181527" w:rsidRDefault="00E01159">
            <w:pPr>
              <w:pStyle w:val="TableParagraph"/>
              <w:spacing w:before="3"/>
              <w:rPr>
                <w:rFonts w:ascii="Times New Roman"/>
              </w:rPr>
            </w:pPr>
          </w:p>
          <w:p w:rsidR="00E01159" w:rsidRDefault="00965613">
            <w:pPr>
              <w:pStyle w:val="TableParagraph"/>
              <w:ind w:left="117"/>
              <w:rPr>
                <w:b/>
                <w:sz w:val="16"/>
              </w:rPr>
            </w:pPr>
            <w:r>
              <w:rPr>
                <w:b/>
                <w:sz w:val="16"/>
              </w:rPr>
              <w:t>5 points</w:t>
            </w:r>
          </w:p>
        </w:tc>
        <w:tc>
          <w:tcPr>
            <w:tcW w:w="1140" w:type="dxa"/>
            <w:vMerge w:val="restart"/>
          </w:tcPr>
          <w:p w:rsidR="00E01159" w:rsidRDefault="00E01159">
            <w:pPr>
              <w:pStyle w:val="TableParagraph"/>
              <w:rPr>
                <w:rFonts w:ascii="Times New Roman"/>
                <w:sz w:val="18"/>
              </w:rPr>
            </w:pPr>
          </w:p>
          <w:p w:rsidR="00E01159" w:rsidRDefault="00E01159">
            <w:pPr>
              <w:pStyle w:val="TableParagraph"/>
              <w:rPr>
                <w:rFonts w:ascii="Times New Roman"/>
                <w:sz w:val="18"/>
              </w:rPr>
            </w:pPr>
          </w:p>
          <w:p w:rsidR="00E01159" w:rsidRDefault="00E01159">
            <w:pPr>
              <w:pStyle w:val="TableParagraph"/>
              <w:spacing w:before="1"/>
              <w:rPr>
                <w:rFonts w:ascii="Times New Roman"/>
                <w:sz w:val="14"/>
              </w:rPr>
            </w:pPr>
          </w:p>
          <w:p w:rsidR="00E01159" w:rsidRDefault="00965613">
            <w:pPr>
              <w:pStyle w:val="TableParagraph"/>
              <w:spacing w:before="1"/>
              <w:ind w:left="153" w:right="128" w:firstLine="76"/>
              <w:rPr>
                <w:b/>
                <w:sz w:val="16"/>
              </w:rPr>
            </w:pPr>
            <w:r>
              <w:rPr>
                <w:b/>
                <w:sz w:val="16"/>
              </w:rPr>
              <w:t>Gain des rencontres</w:t>
            </w:r>
          </w:p>
        </w:tc>
        <w:tc>
          <w:tcPr>
            <w:tcW w:w="1133" w:type="dxa"/>
            <w:vMerge w:val="restart"/>
          </w:tcPr>
          <w:p w:rsidR="00E01159" w:rsidRPr="00181527" w:rsidRDefault="00E01159">
            <w:pPr>
              <w:pStyle w:val="TableParagraph"/>
              <w:rPr>
                <w:rFonts w:ascii="Times New Roman"/>
                <w:sz w:val="18"/>
              </w:rPr>
            </w:pPr>
          </w:p>
          <w:p w:rsidR="00E01159" w:rsidRPr="00181527" w:rsidRDefault="00965613">
            <w:pPr>
              <w:pStyle w:val="TableParagraph"/>
              <w:ind w:left="155" w:right="131" w:hanging="15"/>
              <w:jc w:val="both"/>
              <w:rPr>
                <w:sz w:val="16"/>
              </w:rPr>
            </w:pPr>
            <w:r w:rsidRPr="00181527">
              <w:rPr>
                <w:sz w:val="16"/>
              </w:rPr>
              <w:t>Classement général par sexe : 3 pts</w:t>
            </w:r>
          </w:p>
        </w:tc>
        <w:tc>
          <w:tcPr>
            <w:tcW w:w="3839" w:type="dxa"/>
            <w:gridSpan w:val="3"/>
          </w:tcPr>
          <w:p w:rsidR="00E01159" w:rsidRPr="00181527" w:rsidRDefault="00965613">
            <w:pPr>
              <w:pStyle w:val="TableParagraph"/>
              <w:spacing w:line="178" w:lineRule="exact"/>
              <w:ind w:left="1638"/>
              <w:rPr>
                <w:b/>
                <w:sz w:val="16"/>
              </w:rPr>
            </w:pPr>
            <w:r w:rsidRPr="00181527">
              <w:rPr>
                <w:b/>
                <w:sz w:val="16"/>
              </w:rPr>
              <w:t>0 à 1 pt</w:t>
            </w:r>
          </w:p>
          <w:p w:rsidR="00E01159" w:rsidRPr="00181527" w:rsidRDefault="00965613">
            <w:pPr>
              <w:pStyle w:val="TableParagraph"/>
              <w:spacing w:before="7" w:line="182" w:lineRule="exact"/>
              <w:ind w:left="107" w:right="145"/>
              <w:rPr>
                <w:sz w:val="16"/>
              </w:rPr>
            </w:pPr>
            <w:r w:rsidRPr="00181527">
              <w:rPr>
                <w:sz w:val="16"/>
              </w:rPr>
              <w:t>Les élèves classés en bas du tableau des filles ou du tableau des garçons</w:t>
            </w:r>
          </w:p>
        </w:tc>
        <w:tc>
          <w:tcPr>
            <w:tcW w:w="4121" w:type="dxa"/>
            <w:gridSpan w:val="2"/>
          </w:tcPr>
          <w:p w:rsidR="00E01159" w:rsidRPr="00181527" w:rsidRDefault="00965613">
            <w:pPr>
              <w:pStyle w:val="TableParagraph"/>
              <w:spacing w:line="178" w:lineRule="exact"/>
              <w:ind w:left="1670"/>
              <w:rPr>
                <w:b/>
                <w:sz w:val="16"/>
              </w:rPr>
            </w:pPr>
            <w:r w:rsidRPr="00181527">
              <w:rPr>
                <w:b/>
                <w:sz w:val="16"/>
              </w:rPr>
              <w:t>1,5 à 2 pts</w:t>
            </w:r>
          </w:p>
          <w:p w:rsidR="00E01159" w:rsidRPr="00181527" w:rsidRDefault="00965613">
            <w:pPr>
              <w:pStyle w:val="TableParagraph"/>
              <w:spacing w:before="7" w:line="182" w:lineRule="exact"/>
              <w:ind w:left="110" w:right="263"/>
              <w:rPr>
                <w:sz w:val="16"/>
              </w:rPr>
            </w:pPr>
            <w:r w:rsidRPr="00181527">
              <w:rPr>
                <w:sz w:val="16"/>
              </w:rPr>
              <w:t>Les élèves classés en milieu du tableau des filles ou du tableau des garçons</w:t>
            </w:r>
          </w:p>
        </w:tc>
        <w:tc>
          <w:tcPr>
            <w:tcW w:w="4407" w:type="dxa"/>
            <w:gridSpan w:val="4"/>
          </w:tcPr>
          <w:p w:rsidR="00E01159" w:rsidRPr="00181527" w:rsidRDefault="00965613">
            <w:pPr>
              <w:pStyle w:val="TableParagraph"/>
              <w:spacing w:line="178" w:lineRule="exact"/>
              <w:ind w:left="1763"/>
              <w:rPr>
                <w:b/>
                <w:sz w:val="16"/>
              </w:rPr>
            </w:pPr>
            <w:r w:rsidRPr="00181527">
              <w:rPr>
                <w:b/>
                <w:sz w:val="16"/>
              </w:rPr>
              <w:t>2.25 à 3 pts</w:t>
            </w:r>
          </w:p>
          <w:p w:rsidR="00E01159" w:rsidRPr="00181527" w:rsidRDefault="00965613">
            <w:pPr>
              <w:pStyle w:val="TableParagraph"/>
              <w:spacing w:before="7" w:line="182" w:lineRule="exact"/>
              <w:ind w:left="107"/>
              <w:rPr>
                <w:sz w:val="16"/>
              </w:rPr>
            </w:pPr>
            <w:r w:rsidRPr="00181527">
              <w:rPr>
                <w:sz w:val="16"/>
              </w:rPr>
              <w:t>Les élèves classés en haut du tableau des filles ou du tableau des garçons</w:t>
            </w:r>
          </w:p>
        </w:tc>
      </w:tr>
      <w:tr w:rsidR="00E01159" w:rsidRPr="00181527" w:rsidTr="00C11EA5">
        <w:trPr>
          <w:trHeight w:val="389"/>
        </w:trPr>
        <w:tc>
          <w:tcPr>
            <w:tcW w:w="851" w:type="dxa"/>
            <w:vMerge/>
            <w:tcBorders>
              <w:top w:val="nil"/>
            </w:tcBorders>
          </w:tcPr>
          <w:p w:rsidR="00E01159" w:rsidRPr="00181527" w:rsidRDefault="00E01159">
            <w:pPr>
              <w:rPr>
                <w:sz w:val="2"/>
                <w:szCs w:val="2"/>
              </w:rPr>
            </w:pPr>
          </w:p>
        </w:tc>
        <w:tc>
          <w:tcPr>
            <w:tcW w:w="1140" w:type="dxa"/>
            <w:vMerge/>
            <w:tcBorders>
              <w:top w:val="nil"/>
            </w:tcBorders>
          </w:tcPr>
          <w:p w:rsidR="00E01159" w:rsidRPr="00181527" w:rsidRDefault="00E01159">
            <w:pPr>
              <w:rPr>
                <w:sz w:val="2"/>
                <w:szCs w:val="2"/>
              </w:rPr>
            </w:pPr>
          </w:p>
        </w:tc>
        <w:tc>
          <w:tcPr>
            <w:tcW w:w="1133" w:type="dxa"/>
            <w:vMerge/>
            <w:tcBorders>
              <w:top w:val="nil"/>
            </w:tcBorders>
          </w:tcPr>
          <w:p w:rsidR="00E01159" w:rsidRPr="00181527" w:rsidRDefault="00E01159">
            <w:pPr>
              <w:rPr>
                <w:sz w:val="2"/>
                <w:szCs w:val="2"/>
              </w:rPr>
            </w:pPr>
          </w:p>
        </w:tc>
        <w:tc>
          <w:tcPr>
            <w:tcW w:w="12368" w:type="dxa"/>
            <w:gridSpan w:val="9"/>
          </w:tcPr>
          <w:p w:rsidR="00E01159" w:rsidRPr="00181527" w:rsidRDefault="00965613">
            <w:pPr>
              <w:pStyle w:val="TableParagraph"/>
              <w:spacing w:before="17"/>
              <w:ind w:left="107" w:right="103"/>
              <w:rPr>
                <w:sz w:val="16"/>
              </w:rPr>
            </w:pPr>
            <w:r w:rsidRPr="00181527">
              <w:rPr>
                <w:sz w:val="16"/>
              </w:rPr>
              <w:t>Tout candidat peut obtenir le maximum ou le minimum de points en fonction de sa place au classement général, observé sur un effectif significatif (qui peut éventuellement dépasser le groupe classe). Même si les rencontres peuvent être mixtes, les classements des filles et les garçons sont séparés et indépendants,</w:t>
            </w:r>
          </w:p>
        </w:tc>
      </w:tr>
      <w:tr w:rsidR="00E01159" w:rsidRPr="00181527" w:rsidTr="00C11EA5">
        <w:trPr>
          <w:trHeight w:val="520"/>
        </w:trPr>
        <w:tc>
          <w:tcPr>
            <w:tcW w:w="851" w:type="dxa"/>
            <w:vMerge/>
            <w:tcBorders>
              <w:top w:val="nil"/>
            </w:tcBorders>
          </w:tcPr>
          <w:p w:rsidR="00E01159" w:rsidRPr="00181527" w:rsidRDefault="00E01159">
            <w:pPr>
              <w:rPr>
                <w:sz w:val="2"/>
                <w:szCs w:val="2"/>
              </w:rPr>
            </w:pPr>
          </w:p>
        </w:tc>
        <w:tc>
          <w:tcPr>
            <w:tcW w:w="1140" w:type="dxa"/>
            <w:vMerge/>
            <w:tcBorders>
              <w:top w:val="nil"/>
            </w:tcBorders>
          </w:tcPr>
          <w:p w:rsidR="00E01159" w:rsidRPr="00181527" w:rsidRDefault="00E01159">
            <w:pPr>
              <w:rPr>
                <w:sz w:val="2"/>
                <w:szCs w:val="2"/>
              </w:rPr>
            </w:pPr>
          </w:p>
        </w:tc>
        <w:tc>
          <w:tcPr>
            <w:tcW w:w="1133" w:type="dxa"/>
          </w:tcPr>
          <w:p w:rsidR="00E01159" w:rsidRPr="00181527" w:rsidRDefault="00965613">
            <w:pPr>
              <w:pStyle w:val="TableParagraph"/>
              <w:ind w:left="304" w:right="115" w:hanging="164"/>
              <w:rPr>
                <w:sz w:val="16"/>
              </w:rPr>
            </w:pPr>
            <w:r w:rsidRPr="00181527">
              <w:rPr>
                <w:sz w:val="16"/>
              </w:rPr>
              <w:t>Classement dans la</w:t>
            </w:r>
          </w:p>
          <w:p w:rsidR="00E01159" w:rsidRPr="00181527" w:rsidRDefault="00965613">
            <w:pPr>
              <w:pStyle w:val="TableParagraph"/>
              <w:spacing w:before="4" w:line="166" w:lineRule="exact"/>
              <w:ind w:left="128"/>
              <w:rPr>
                <w:sz w:val="16"/>
              </w:rPr>
            </w:pPr>
            <w:r w:rsidRPr="00181527">
              <w:rPr>
                <w:sz w:val="16"/>
              </w:rPr>
              <w:t>poule : 2 pts</w:t>
            </w:r>
          </w:p>
        </w:tc>
        <w:tc>
          <w:tcPr>
            <w:tcW w:w="12368" w:type="dxa"/>
            <w:gridSpan w:val="9"/>
          </w:tcPr>
          <w:p w:rsidR="00E01159" w:rsidRPr="00181527" w:rsidRDefault="00E01159">
            <w:pPr>
              <w:pStyle w:val="TableParagraph"/>
              <w:spacing w:before="8"/>
              <w:rPr>
                <w:rFonts w:ascii="Times New Roman"/>
                <w:sz w:val="15"/>
              </w:rPr>
            </w:pPr>
          </w:p>
          <w:p w:rsidR="00E01159" w:rsidRPr="00181527" w:rsidRDefault="00965613">
            <w:pPr>
              <w:pStyle w:val="TableParagraph"/>
              <w:ind w:left="107"/>
              <w:rPr>
                <w:sz w:val="16"/>
              </w:rPr>
            </w:pPr>
            <w:r w:rsidRPr="00181527">
              <w:rPr>
                <w:sz w:val="16"/>
              </w:rPr>
              <w:t>Chaque candidat obtient entre 0 et 2 points en fonction de son classement dans la poule (mixte ou non), indépendamment de son niveau de jeu.</w:t>
            </w:r>
          </w:p>
        </w:tc>
      </w:tr>
    </w:tbl>
    <w:p w:rsidR="00965613" w:rsidRPr="00181527" w:rsidRDefault="00965613"/>
    <w:sectPr w:rsidR="00965613" w:rsidRPr="00181527" w:rsidSect="00C11EA5">
      <w:headerReference w:type="default" r:id="rId6"/>
      <w:footerReference w:type="default" r:id="rId7"/>
      <w:pgSz w:w="16840" w:h="11910" w:orient="landscape"/>
      <w:pgMar w:top="1276" w:right="560" w:bottom="709" w:left="600" w:header="170" w:footer="7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09" w:rsidRDefault="003B0909">
      <w:r>
        <w:separator/>
      </w:r>
    </w:p>
  </w:endnote>
  <w:endnote w:type="continuationSeparator" w:id="0">
    <w:p w:rsidR="003B0909" w:rsidRDefault="003B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59" w:rsidRDefault="00181527">
    <w:pPr>
      <w:pStyle w:val="Corpsdetexte"/>
      <w:spacing w:line="14" w:lineRule="auto"/>
    </w:pPr>
    <w:r>
      <w:rPr>
        <w:noProof/>
        <w:lang w:eastAsia="fr-FR"/>
      </w:rPr>
      <mc:AlternateContent>
        <mc:Choice Requires="wps">
          <w:drawing>
            <wp:anchor distT="0" distB="0" distL="114300" distR="114300" simplePos="0" relativeHeight="503304248" behindDoc="1" locked="0" layoutInCell="1" allowOverlap="1">
              <wp:simplePos x="0" y="0"/>
              <wp:positionH relativeFrom="page">
                <wp:posOffset>886460</wp:posOffset>
              </wp:positionH>
              <wp:positionV relativeFrom="page">
                <wp:posOffset>6955790</wp:posOffset>
              </wp:positionV>
              <wp:extent cx="3465195" cy="167005"/>
              <wp:effectExtent l="635" t="2540" r="127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159" w:rsidRPr="00181527" w:rsidRDefault="00965613">
                          <w:pPr>
                            <w:pStyle w:val="Corpsdetexte"/>
                            <w:spacing w:before="12"/>
                            <w:ind w:left="20"/>
                          </w:pPr>
                          <w:r w:rsidRPr="00181527">
                            <w:t xml:space="preserve">© Ministère de l'éducation nationale &gt; </w:t>
                          </w:r>
                          <w:hyperlink r:id="rId1">
                            <w:r w:rsidRPr="00181527">
                              <w:t>www.education.gouv.fr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9.8pt;margin-top:547.7pt;width:272.85pt;height:13.15pt;z-index:-12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" filled="f" stroked="f">
              <v:textbox inset="0,0,0,0">
                <w:txbxContent>
                  <w:p w:rsidR="00E01159" w:rsidRPr="00181527" w:rsidRDefault="00965613">
                    <w:pPr>
                      <w:pStyle w:val="Corpsdetexte"/>
                      <w:spacing w:before="12"/>
                      <w:ind w:left="20"/>
                    </w:pPr>
                    <w:r w:rsidRPr="00181527">
                      <w:t xml:space="preserve">© Ministère de l'éducation nationale &gt; </w:t>
                    </w:r>
                    <w:hyperlink r:id="rId2">
                      <w:r w:rsidRPr="00181527">
                        <w:t>www.education.gouv.fr</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09" w:rsidRDefault="003B0909">
      <w:r>
        <w:separator/>
      </w:r>
    </w:p>
  </w:footnote>
  <w:footnote w:type="continuationSeparator" w:id="0">
    <w:p w:rsidR="003B0909" w:rsidRDefault="003B0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159" w:rsidRDefault="00965613">
    <w:pPr>
      <w:pStyle w:val="Corpsdetexte"/>
      <w:spacing w:line="14" w:lineRule="auto"/>
    </w:pPr>
    <w:r>
      <w:rPr>
        <w:noProof/>
        <w:lang w:eastAsia="fr-FR"/>
      </w:rPr>
      <w:drawing>
        <wp:anchor distT="0" distB="0" distL="0" distR="0" simplePos="0" relativeHeight="268423151" behindDoc="1" locked="0" layoutInCell="1" allowOverlap="1">
          <wp:simplePos x="0" y="0"/>
          <wp:positionH relativeFrom="page">
            <wp:posOffset>1005841</wp:posOffset>
          </wp:positionH>
          <wp:positionV relativeFrom="page">
            <wp:posOffset>106680</wp:posOffset>
          </wp:positionV>
          <wp:extent cx="1371600" cy="63606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91154" cy="645131"/>
                  </a:xfrm>
                  <a:prstGeom prst="rect">
                    <a:avLst/>
                  </a:prstGeom>
                </pic:spPr>
              </pic:pic>
            </a:graphicData>
          </a:graphic>
          <wp14:sizeRelH relativeFrom="margin">
            <wp14:pctWidth>0</wp14:pctWidth>
          </wp14:sizeRelH>
          <wp14:sizeRelV relativeFrom="margin">
            <wp14:pctHeight>0</wp14:pctHeight>
          </wp14:sizeRelV>
        </wp:anchor>
      </w:drawing>
    </w:r>
    <w:r w:rsidR="00181527">
      <w:rPr>
        <w:noProof/>
        <w:lang w:eastAsia="fr-FR"/>
      </w:rPr>
      <mc:AlternateContent>
        <mc:Choice Requires="wps">
          <w:drawing>
            <wp:anchor distT="0" distB="0" distL="114300" distR="114300" simplePos="0" relativeHeight="503304200" behindDoc="1" locked="0" layoutInCell="1" allowOverlap="1">
              <wp:simplePos x="0" y="0"/>
              <wp:positionH relativeFrom="page">
                <wp:posOffset>880745</wp:posOffset>
              </wp:positionH>
              <wp:positionV relativeFrom="page">
                <wp:posOffset>887095</wp:posOffset>
              </wp:positionV>
              <wp:extent cx="8930640" cy="0"/>
              <wp:effectExtent l="13970" t="10795" r="8890"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06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46EE9" id="Line 3" o:spid="_x0000_s1026" style="position:absolute;z-index:-12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35pt,69.85pt" to="772.55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Uk7HA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" strokeweight=".48pt">
              <w10:wrap anchorx="page" anchory="page"/>
            </v:line>
          </w:pict>
        </mc:Fallback>
      </mc:AlternateContent>
    </w:r>
    <w:r w:rsidR="00181527">
      <w:rPr>
        <w:noProof/>
        <w:lang w:eastAsia="fr-FR"/>
      </w:rPr>
      <mc:AlternateContent>
        <mc:Choice Requires="wps">
          <w:drawing>
            <wp:anchor distT="0" distB="0" distL="114300" distR="114300" simplePos="0" relativeHeight="503304224" behindDoc="1" locked="0" layoutInCell="1" allowOverlap="1">
              <wp:simplePos x="0" y="0"/>
              <wp:positionH relativeFrom="page">
                <wp:posOffset>7986395</wp:posOffset>
              </wp:positionH>
              <wp:positionV relativeFrom="page">
                <wp:posOffset>677545</wp:posOffset>
              </wp:positionV>
              <wp:extent cx="1818005" cy="167005"/>
              <wp:effectExtent l="4445" t="1270" r="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1159" w:rsidRDefault="00965613">
                          <w:pPr>
                            <w:pStyle w:val="Corpsdetexte"/>
                            <w:spacing w:before="12"/>
                            <w:ind w:left="20"/>
                          </w:pPr>
                          <w:r>
                            <w:t>Bulletin officiel n° 9 du 1-3-2018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8.85pt;margin-top:53.35pt;width:143.15pt;height:13.15pt;z-index:-1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QSrAIAAKk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" filled="f" stroked="f">
              <v:textbox inset="0,0,0,0">
                <w:txbxContent>
                  <w:p w:rsidR="00E01159" w:rsidRDefault="00965613">
                    <w:pPr>
                      <w:pStyle w:val="Corpsdetexte"/>
                      <w:spacing w:before="12"/>
                      <w:ind w:left="20"/>
                    </w:pPr>
                    <w:r>
                      <w:t>Bulletin officiel n° 9 du 1-3-2018</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59"/>
    <w:rsid w:val="0017623B"/>
    <w:rsid w:val="00181527"/>
    <w:rsid w:val="003B0909"/>
    <w:rsid w:val="00965613"/>
    <w:rsid w:val="00C11EA5"/>
    <w:rsid w:val="00E01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EC6633-762B-40F7-9B29-144D30DA3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7623B"/>
    <w:pPr>
      <w:tabs>
        <w:tab w:val="center" w:pos="4536"/>
        <w:tab w:val="right" w:pos="9072"/>
      </w:tabs>
    </w:pPr>
  </w:style>
  <w:style w:type="character" w:customStyle="1" w:styleId="En-tteCar">
    <w:name w:val="En-tête Car"/>
    <w:basedOn w:val="Policepardfaut"/>
    <w:link w:val="En-tte"/>
    <w:uiPriority w:val="99"/>
    <w:rsid w:val="0017623B"/>
    <w:rPr>
      <w:rFonts w:ascii="Arial" w:eastAsia="Arial" w:hAnsi="Arial" w:cs="Arial"/>
      <w:lang w:val="fr-FR"/>
    </w:rPr>
  </w:style>
  <w:style w:type="paragraph" w:styleId="Pieddepage">
    <w:name w:val="footer"/>
    <w:basedOn w:val="Normal"/>
    <w:link w:val="PieddepageCar"/>
    <w:uiPriority w:val="99"/>
    <w:unhideWhenUsed/>
    <w:rsid w:val="0017623B"/>
    <w:pPr>
      <w:tabs>
        <w:tab w:val="center" w:pos="4536"/>
        <w:tab w:val="right" w:pos="9072"/>
      </w:tabs>
    </w:pPr>
  </w:style>
  <w:style w:type="character" w:customStyle="1" w:styleId="PieddepageCar">
    <w:name w:val="Pied de page Car"/>
    <w:basedOn w:val="Policepardfaut"/>
    <w:link w:val="Pieddepage"/>
    <w:uiPriority w:val="99"/>
    <w:rsid w:val="0017623B"/>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ducation.gouv.fr/" TargetMode="External"/><Relationship Id="rId1" Type="http://schemas.openxmlformats.org/officeDocument/2006/relationships/hyperlink" Target="http://www.education.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933</Words>
  <Characters>5135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5</cp:revision>
  <dcterms:created xsi:type="dcterms:W3CDTF">2018-03-06T21:20:00Z</dcterms:created>
  <dcterms:modified xsi:type="dcterms:W3CDTF">2018-03-07T12:18:00Z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2018-03-06T00:00:00Z</vt:filetime>
  </property>
</Properties>
</file>