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90" w:rsidRDefault="00EA6996">
      <w:pPr>
        <w:spacing w:after="5"/>
        <w:ind w:left="1116"/>
        <w:rPr>
          <w:b/>
          <w:sz w:val="20"/>
        </w:rPr>
      </w:pPr>
      <w:r>
        <w:rPr>
          <w:b/>
          <w:color w:val="17818E"/>
          <w:sz w:val="20"/>
        </w:rPr>
        <w:t>Handball CAP-BEP</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705"/>
        <w:gridCol w:w="4110"/>
        <w:gridCol w:w="4964"/>
        <w:gridCol w:w="4537"/>
      </w:tblGrid>
      <w:tr w:rsidR="00F64590">
        <w:trPr>
          <w:trHeight w:val="206"/>
        </w:trPr>
        <w:tc>
          <w:tcPr>
            <w:tcW w:w="2555" w:type="dxa"/>
            <w:gridSpan w:val="2"/>
          </w:tcPr>
          <w:p w:rsidR="00F64590" w:rsidRDefault="00EA6996">
            <w:pPr>
              <w:pStyle w:val="TableParagraph"/>
              <w:spacing w:line="186" w:lineRule="exact"/>
              <w:ind w:left="302"/>
              <w:rPr>
                <w:sz w:val="18"/>
              </w:rPr>
            </w:pPr>
            <w:r>
              <w:rPr>
                <w:color w:val="17818E"/>
                <w:sz w:val="18"/>
              </w:rPr>
              <w:t>Compétences attendues</w:t>
            </w:r>
          </w:p>
        </w:tc>
        <w:tc>
          <w:tcPr>
            <w:tcW w:w="13611" w:type="dxa"/>
            <w:gridSpan w:val="3"/>
          </w:tcPr>
          <w:p w:rsidR="00F64590" w:rsidRDefault="00EA6996">
            <w:pPr>
              <w:pStyle w:val="TableParagraph"/>
              <w:spacing w:line="186" w:lineRule="exact"/>
              <w:ind w:left="5359" w:right="5350"/>
              <w:jc w:val="center"/>
              <w:rPr>
                <w:sz w:val="18"/>
              </w:rPr>
            </w:pPr>
            <w:r>
              <w:rPr>
                <w:color w:val="17818E"/>
                <w:sz w:val="18"/>
              </w:rPr>
              <w:t>Principes d’élaboration de l’épreuve</w:t>
            </w:r>
          </w:p>
        </w:tc>
      </w:tr>
      <w:tr w:rsidR="00F64590" w:rsidRPr="00F32D73">
        <w:trPr>
          <w:trHeight w:val="1471"/>
        </w:trPr>
        <w:tc>
          <w:tcPr>
            <w:tcW w:w="2555" w:type="dxa"/>
            <w:gridSpan w:val="2"/>
          </w:tcPr>
          <w:p w:rsidR="00F64590" w:rsidRPr="00F32D73" w:rsidRDefault="00EA6996">
            <w:pPr>
              <w:pStyle w:val="TableParagraph"/>
              <w:spacing w:line="178" w:lineRule="exact"/>
              <w:ind w:left="71"/>
              <w:rPr>
                <w:b/>
                <w:sz w:val="16"/>
              </w:rPr>
            </w:pPr>
            <w:r w:rsidRPr="00F32D73">
              <w:rPr>
                <w:b/>
                <w:sz w:val="16"/>
              </w:rPr>
              <w:t>Niveau 3 :</w:t>
            </w:r>
          </w:p>
          <w:p w:rsidR="00F64590" w:rsidRPr="00F32D73" w:rsidRDefault="00EA6996">
            <w:pPr>
              <w:pStyle w:val="TableParagraph"/>
              <w:spacing w:before="3"/>
              <w:ind w:left="71" w:right="57"/>
              <w:jc w:val="both"/>
              <w:rPr>
                <w:sz w:val="16"/>
              </w:rPr>
            </w:pPr>
            <w:r w:rsidRPr="00F32D73">
              <w:rPr>
                <w:sz w:val="16"/>
              </w:rPr>
              <w:t>Pour gagner le match, mettre en œuvre une organisation offensive qui utilise opportunément la contre-attaque face à une défense qui cherche à récupérer la balle au plus tôt dans</w:t>
            </w:r>
            <w:r w:rsidRPr="00F32D73">
              <w:rPr>
                <w:spacing w:val="22"/>
                <w:sz w:val="16"/>
              </w:rPr>
              <w:t xml:space="preserve"> </w:t>
            </w:r>
            <w:r w:rsidRPr="00F32D73">
              <w:rPr>
                <w:sz w:val="16"/>
              </w:rPr>
              <w:t>le</w:t>
            </w:r>
          </w:p>
          <w:p w:rsidR="00F64590" w:rsidRDefault="00EA6996">
            <w:pPr>
              <w:pStyle w:val="TableParagraph"/>
              <w:spacing w:line="166" w:lineRule="exact"/>
              <w:ind w:left="71"/>
              <w:jc w:val="both"/>
              <w:rPr>
                <w:sz w:val="16"/>
              </w:rPr>
            </w:pPr>
            <w:r>
              <w:rPr>
                <w:sz w:val="16"/>
              </w:rPr>
              <w:t>respect des règles.</w:t>
            </w:r>
          </w:p>
        </w:tc>
        <w:tc>
          <w:tcPr>
            <w:tcW w:w="13611" w:type="dxa"/>
            <w:gridSpan w:val="3"/>
          </w:tcPr>
          <w:p w:rsidR="00F64590" w:rsidRPr="00F32D73" w:rsidRDefault="00EA6996">
            <w:pPr>
              <w:pStyle w:val="TableParagraph"/>
              <w:numPr>
                <w:ilvl w:val="0"/>
                <w:numId w:val="1"/>
              </w:numPr>
              <w:tabs>
                <w:tab w:val="left" w:pos="170"/>
              </w:tabs>
              <w:spacing w:line="180" w:lineRule="exact"/>
              <w:ind w:firstLine="0"/>
              <w:rPr>
                <w:sz w:val="16"/>
              </w:rPr>
            </w:pPr>
            <w:r w:rsidRPr="00F32D73">
              <w:rPr>
                <w:sz w:val="16"/>
              </w:rPr>
              <w:t>Match à 6 contre 6 (5 joueurs de champ et un gardien) sur un terrain réglementaire, opposant des équipes dont le rapport de force est équilibré à priori</w:t>
            </w:r>
            <w:r w:rsidRPr="00F32D73">
              <w:rPr>
                <w:spacing w:val="-23"/>
                <w:sz w:val="16"/>
              </w:rPr>
              <w:t xml:space="preserve"> </w:t>
            </w:r>
            <w:r w:rsidRPr="00F32D73">
              <w:rPr>
                <w:sz w:val="16"/>
              </w:rPr>
              <w:t>(1).</w:t>
            </w:r>
          </w:p>
          <w:p w:rsidR="00F64590" w:rsidRPr="00F32D73" w:rsidRDefault="00EA6996">
            <w:pPr>
              <w:pStyle w:val="TableParagraph"/>
              <w:numPr>
                <w:ilvl w:val="0"/>
                <w:numId w:val="1"/>
              </w:numPr>
              <w:tabs>
                <w:tab w:val="left" w:pos="177"/>
              </w:tabs>
              <w:spacing w:before="1"/>
              <w:ind w:right="58" w:firstLine="0"/>
              <w:rPr>
                <w:sz w:val="16"/>
              </w:rPr>
            </w:pPr>
            <w:r w:rsidRPr="00F32D73">
              <w:rPr>
                <w:sz w:val="16"/>
              </w:rPr>
              <w:t>Chaque équipe dispute plusieurs rencontres de 8 minutes minimum, dont au moins deux rencontres contre la même équipe. Au cours des phases de jeu, des temps de concertation sont prévus, de manière à permettre aux joueurs d’une même équipe d’ajuster leurs organisations collectives, en fonction du jeu</w:t>
            </w:r>
            <w:r w:rsidRPr="00F32D73">
              <w:rPr>
                <w:spacing w:val="-12"/>
                <w:sz w:val="16"/>
              </w:rPr>
              <w:t xml:space="preserve"> </w:t>
            </w:r>
            <w:r w:rsidRPr="00F32D73">
              <w:rPr>
                <w:sz w:val="16"/>
              </w:rPr>
              <w:t>adverse.</w:t>
            </w:r>
          </w:p>
          <w:p w:rsidR="00F64590" w:rsidRDefault="00EA6996">
            <w:pPr>
              <w:pStyle w:val="TableParagraph"/>
              <w:numPr>
                <w:ilvl w:val="0"/>
                <w:numId w:val="1"/>
              </w:numPr>
              <w:tabs>
                <w:tab w:val="left" w:pos="170"/>
              </w:tabs>
              <w:spacing w:before="1"/>
              <w:ind w:right="5572" w:firstLine="0"/>
              <w:rPr>
                <w:sz w:val="16"/>
              </w:rPr>
            </w:pPr>
            <w:r w:rsidRPr="00F32D73">
              <w:rPr>
                <w:sz w:val="16"/>
              </w:rPr>
              <w:t>Les</w:t>
            </w:r>
            <w:r w:rsidRPr="00F32D73">
              <w:rPr>
                <w:spacing w:val="-2"/>
                <w:sz w:val="16"/>
              </w:rPr>
              <w:t xml:space="preserve"> </w:t>
            </w:r>
            <w:r w:rsidRPr="00F32D73">
              <w:rPr>
                <w:sz w:val="16"/>
              </w:rPr>
              <w:t>règles</w:t>
            </w:r>
            <w:r w:rsidRPr="00F32D73">
              <w:rPr>
                <w:spacing w:val="-2"/>
                <w:sz w:val="16"/>
              </w:rPr>
              <w:t xml:space="preserve"> </w:t>
            </w:r>
            <w:r w:rsidRPr="00F32D73">
              <w:rPr>
                <w:sz w:val="16"/>
              </w:rPr>
              <w:t>essentielles</w:t>
            </w:r>
            <w:r w:rsidRPr="00F32D73">
              <w:rPr>
                <w:spacing w:val="-5"/>
                <w:sz w:val="16"/>
              </w:rPr>
              <w:t xml:space="preserve"> </w:t>
            </w:r>
            <w:r w:rsidRPr="00F32D73">
              <w:rPr>
                <w:sz w:val="16"/>
              </w:rPr>
              <w:t>sont</w:t>
            </w:r>
            <w:r w:rsidRPr="00F32D73">
              <w:rPr>
                <w:spacing w:val="-5"/>
                <w:sz w:val="16"/>
              </w:rPr>
              <w:t xml:space="preserve"> </w:t>
            </w:r>
            <w:r w:rsidRPr="00F32D73">
              <w:rPr>
                <w:sz w:val="16"/>
              </w:rPr>
              <w:t>celles</w:t>
            </w:r>
            <w:r w:rsidRPr="00F32D73">
              <w:rPr>
                <w:spacing w:val="-2"/>
                <w:sz w:val="16"/>
              </w:rPr>
              <w:t xml:space="preserve"> </w:t>
            </w:r>
            <w:r w:rsidRPr="00F32D73">
              <w:rPr>
                <w:sz w:val="16"/>
              </w:rPr>
              <w:t>du</w:t>
            </w:r>
            <w:r w:rsidRPr="00F32D73">
              <w:rPr>
                <w:spacing w:val="-4"/>
                <w:sz w:val="16"/>
              </w:rPr>
              <w:t xml:space="preserve"> </w:t>
            </w:r>
            <w:r w:rsidRPr="00F32D73">
              <w:rPr>
                <w:sz w:val="16"/>
              </w:rPr>
              <w:t>handball,</w:t>
            </w:r>
            <w:r w:rsidRPr="00F32D73">
              <w:rPr>
                <w:spacing w:val="-5"/>
                <w:sz w:val="16"/>
              </w:rPr>
              <w:t xml:space="preserve"> </w:t>
            </w:r>
            <w:r w:rsidRPr="00F32D73">
              <w:rPr>
                <w:sz w:val="16"/>
              </w:rPr>
              <w:t>mais</w:t>
            </w:r>
            <w:r w:rsidRPr="00F32D73">
              <w:rPr>
                <w:spacing w:val="-2"/>
                <w:sz w:val="16"/>
              </w:rPr>
              <w:t xml:space="preserve"> </w:t>
            </w:r>
            <w:r w:rsidRPr="00F32D73">
              <w:rPr>
                <w:sz w:val="16"/>
              </w:rPr>
              <w:t>l’engagement</w:t>
            </w:r>
            <w:r w:rsidRPr="00F32D73">
              <w:rPr>
                <w:spacing w:val="-5"/>
                <w:sz w:val="16"/>
              </w:rPr>
              <w:t xml:space="preserve"> </w:t>
            </w:r>
            <w:r w:rsidRPr="00F32D73">
              <w:rPr>
                <w:sz w:val="16"/>
              </w:rPr>
              <w:t>est</w:t>
            </w:r>
            <w:r w:rsidRPr="00F32D73">
              <w:rPr>
                <w:spacing w:val="-5"/>
                <w:sz w:val="16"/>
              </w:rPr>
              <w:t xml:space="preserve"> </w:t>
            </w:r>
            <w:r w:rsidRPr="00F32D73">
              <w:rPr>
                <w:sz w:val="16"/>
              </w:rPr>
              <w:t>réalisé</w:t>
            </w:r>
            <w:r w:rsidRPr="00F32D73">
              <w:rPr>
                <w:spacing w:val="-6"/>
                <w:sz w:val="16"/>
              </w:rPr>
              <w:t xml:space="preserve"> </w:t>
            </w:r>
            <w:r w:rsidRPr="00F32D73">
              <w:rPr>
                <w:sz w:val="16"/>
              </w:rPr>
              <w:t>par</w:t>
            </w:r>
            <w:r w:rsidRPr="00F32D73">
              <w:rPr>
                <w:spacing w:val="-4"/>
                <w:sz w:val="16"/>
              </w:rPr>
              <w:t xml:space="preserve"> </w:t>
            </w:r>
            <w:r w:rsidRPr="00F32D73">
              <w:rPr>
                <w:sz w:val="16"/>
              </w:rPr>
              <w:t>le</w:t>
            </w:r>
            <w:r w:rsidRPr="00F32D73">
              <w:rPr>
                <w:spacing w:val="-4"/>
                <w:sz w:val="16"/>
              </w:rPr>
              <w:t xml:space="preserve"> </w:t>
            </w:r>
            <w:r w:rsidRPr="00F32D73">
              <w:rPr>
                <w:sz w:val="16"/>
              </w:rPr>
              <w:t>gardien</w:t>
            </w:r>
            <w:r w:rsidRPr="00F32D73">
              <w:rPr>
                <w:spacing w:val="-4"/>
                <w:sz w:val="16"/>
              </w:rPr>
              <w:t xml:space="preserve"> </w:t>
            </w:r>
            <w:r w:rsidRPr="00F32D73">
              <w:rPr>
                <w:sz w:val="16"/>
              </w:rPr>
              <w:t>depuis</w:t>
            </w:r>
            <w:r w:rsidRPr="00F32D73">
              <w:rPr>
                <w:spacing w:val="-5"/>
                <w:sz w:val="16"/>
              </w:rPr>
              <w:t xml:space="preserve"> </w:t>
            </w:r>
            <w:r w:rsidRPr="00F32D73">
              <w:rPr>
                <w:sz w:val="16"/>
              </w:rPr>
              <w:t>sa</w:t>
            </w:r>
            <w:r w:rsidRPr="00F32D73">
              <w:rPr>
                <w:spacing w:val="-4"/>
                <w:sz w:val="16"/>
              </w:rPr>
              <w:t xml:space="preserve"> </w:t>
            </w:r>
            <w:r w:rsidRPr="00F32D73">
              <w:rPr>
                <w:sz w:val="16"/>
              </w:rPr>
              <w:t>surface.</w:t>
            </w:r>
            <w:r w:rsidRPr="00F32D73">
              <w:rPr>
                <w:sz w:val="16"/>
                <w:u w:val="single"/>
              </w:rPr>
              <w:t xml:space="preserve"> </w:t>
            </w:r>
            <w:r>
              <w:rPr>
                <w:sz w:val="16"/>
                <w:u w:val="single"/>
              </w:rPr>
              <w:t>(1) Commentaires</w:t>
            </w:r>
            <w:r>
              <w:rPr>
                <w:spacing w:val="-1"/>
                <w:sz w:val="16"/>
                <w:u w:val="single"/>
              </w:rPr>
              <w:t xml:space="preserve"> </w:t>
            </w:r>
            <w:r>
              <w:rPr>
                <w:sz w:val="16"/>
                <w:u w:val="single"/>
              </w:rPr>
              <w:t>:</w:t>
            </w:r>
          </w:p>
          <w:p w:rsidR="00F64590" w:rsidRPr="00F32D73" w:rsidRDefault="00EA6996">
            <w:pPr>
              <w:pStyle w:val="TableParagraph"/>
              <w:spacing w:before="1" w:line="184" w:lineRule="exact"/>
              <w:ind w:left="70" w:right="55"/>
              <w:jc w:val="both"/>
              <w:rPr>
                <w:sz w:val="16"/>
              </w:rPr>
            </w:pPr>
            <w:r w:rsidRPr="00F32D73">
              <w:rPr>
                <w:sz w:val="16"/>
              </w:rPr>
              <w:t>Le principe d’équilibre du rapport de force : les équipes qui se rencontrent doivent être homogènes entre elles et en leur sein (équipes de niveau). C’est à cette condition que peuvent être révélées les compétences attendues. Dans certains cas particuliers (contextes spécifiques d’établissement et effectifs), ce principe peut être mis en œuvre de manière différente : constitution d’équipes de même niveau mais hétérogènes en leur sein, à condition que les individualités puissent se neutraliser.</w:t>
            </w:r>
          </w:p>
        </w:tc>
      </w:tr>
      <w:tr w:rsidR="00F64590">
        <w:trPr>
          <w:trHeight w:val="183"/>
        </w:trPr>
        <w:tc>
          <w:tcPr>
            <w:tcW w:w="850" w:type="dxa"/>
            <w:vMerge w:val="restart"/>
          </w:tcPr>
          <w:p w:rsidR="00F64590" w:rsidRDefault="00EA6996">
            <w:pPr>
              <w:pStyle w:val="TableParagraph"/>
              <w:spacing w:before="4" w:line="182" w:lineRule="exact"/>
              <w:ind w:left="136" w:right="83" w:hanging="22"/>
              <w:rPr>
                <w:b/>
                <w:sz w:val="16"/>
              </w:rPr>
            </w:pPr>
            <w:r>
              <w:rPr>
                <w:b/>
                <w:sz w:val="16"/>
              </w:rPr>
              <w:t>Points à affecter</w:t>
            </w:r>
          </w:p>
        </w:tc>
        <w:tc>
          <w:tcPr>
            <w:tcW w:w="1705" w:type="dxa"/>
            <w:vMerge w:val="restart"/>
          </w:tcPr>
          <w:p w:rsidR="00F64590" w:rsidRDefault="00EA6996">
            <w:pPr>
              <w:pStyle w:val="TableParagraph"/>
              <w:spacing w:before="91"/>
              <w:ind w:left="126"/>
              <w:rPr>
                <w:b/>
                <w:sz w:val="16"/>
              </w:rPr>
            </w:pPr>
            <w:r>
              <w:rPr>
                <w:b/>
                <w:sz w:val="16"/>
              </w:rPr>
              <w:t>Éléments à évaluer</w:t>
            </w:r>
          </w:p>
        </w:tc>
        <w:tc>
          <w:tcPr>
            <w:tcW w:w="4110" w:type="dxa"/>
            <w:vMerge w:val="restart"/>
          </w:tcPr>
          <w:p w:rsidR="00F64590" w:rsidRPr="00F32D73" w:rsidRDefault="00EA6996">
            <w:pPr>
              <w:pStyle w:val="TableParagraph"/>
              <w:ind w:left="224" w:right="217"/>
              <w:jc w:val="center"/>
              <w:rPr>
                <w:b/>
                <w:sz w:val="16"/>
              </w:rPr>
            </w:pPr>
            <w:r w:rsidRPr="00F32D73">
              <w:rPr>
                <w:b/>
                <w:sz w:val="16"/>
              </w:rPr>
              <w:t>Compétence de niveau 3 en cours d’acquisition</w:t>
            </w:r>
          </w:p>
          <w:p w:rsidR="00F64590" w:rsidRDefault="00EA6996">
            <w:pPr>
              <w:pStyle w:val="TableParagraph"/>
              <w:spacing w:line="173" w:lineRule="exact"/>
              <w:ind w:left="224" w:right="215"/>
              <w:jc w:val="center"/>
              <w:rPr>
                <w:sz w:val="16"/>
              </w:rPr>
            </w:pPr>
            <w:r>
              <w:rPr>
                <w:sz w:val="16"/>
              </w:rPr>
              <w:t>de 0 à 9 points</w:t>
            </w:r>
          </w:p>
        </w:tc>
        <w:tc>
          <w:tcPr>
            <w:tcW w:w="9501" w:type="dxa"/>
            <w:gridSpan w:val="2"/>
          </w:tcPr>
          <w:p w:rsidR="00F64590" w:rsidRDefault="00EA6996">
            <w:pPr>
              <w:pStyle w:val="TableParagraph"/>
              <w:spacing w:line="164" w:lineRule="exact"/>
              <w:ind w:left="3468" w:right="3466"/>
              <w:jc w:val="center"/>
              <w:rPr>
                <w:b/>
                <w:sz w:val="16"/>
              </w:rPr>
            </w:pPr>
            <w:r>
              <w:rPr>
                <w:b/>
                <w:sz w:val="16"/>
              </w:rPr>
              <w:t>Compétence de niveau 3 acquise</w:t>
            </w:r>
          </w:p>
        </w:tc>
      </w:tr>
      <w:tr w:rsidR="00F64590">
        <w:trPr>
          <w:trHeight w:val="184"/>
        </w:trPr>
        <w:tc>
          <w:tcPr>
            <w:tcW w:w="850" w:type="dxa"/>
            <w:vMerge/>
            <w:tcBorders>
              <w:top w:val="nil"/>
            </w:tcBorders>
          </w:tcPr>
          <w:p w:rsidR="00F64590" w:rsidRDefault="00F64590">
            <w:pPr>
              <w:rPr>
                <w:sz w:val="2"/>
                <w:szCs w:val="2"/>
              </w:rPr>
            </w:pPr>
          </w:p>
        </w:tc>
        <w:tc>
          <w:tcPr>
            <w:tcW w:w="1705" w:type="dxa"/>
            <w:vMerge/>
            <w:tcBorders>
              <w:top w:val="nil"/>
            </w:tcBorders>
          </w:tcPr>
          <w:p w:rsidR="00F64590" w:rsidRDefault="00F64590">
            <w:pPr>
              <w:rPr>
                <w:sz w:val="2"/>
                <w:szCs w:val="2"/>
              </w:rPr>
            </w:pPr>
          </w:p>
        </w:tc>
        <w:tc>
          <w:tcPr>
            <w:tcW w:w="4110" w:type="dxa"/>
            <w:vMerge/>
            <w:tcBorders>
              <w:top w:val="nil"/>
            </w:tcBorders>
          </w:tcPr>
          <w:p w:rsidR="00F64590" w:rsidRDefault="00F64590">
            <w:pPr>
              <w:rPr>
                <w:sz w:val="2"/>
                <w:szCs w:val="2"/>
              </w:rPr>
            </w:pPr>
          </w:p>
        </w:tc>
        <w:tc>
          <w:tcPr>
            <w:tcW w:w="4964" w:type="dxa"/>
          </w:tcPr>
          <w:p w:rsidR="00F64590" w:rsidRDefault="00EA6996">
            <w:pPr>
              <w:pStyle w:val="TableParagraph"/>
              <w:spacing w:line="164" w:lineRule="exact"/>
              <w:ind w:left="1846" w:right="1840"/>
              <w:jc w:val="center"/>
              <w:rPr>
                <w:sz w:val="16"/>
              </w:rPr>
            </w:pPr>
            <w:r>
              <w:rPr>
                <w:sz w:val="16"/>
              </w:rPr>
              <w:t>de 10 à 14 points</w:t>
            </w:r>
          </w:p>
        </w:tc>
        <w:tc>
          <w:tcPr>
            <w:tcW w:w="4537" w:type="dxa"/>
          </w:tcPr>
          <w:p w:rsidR="00F64590" w:rsidRDefault="00EA6996">
            <w:pPr>
              <w:pStyle w:val="TableParagraph"/>
              <w:spacing w:line="164" w:lineRule="exact"/>
              <w:ind w:left="1632" w:right="1626"/>
              <w:jc w:val="center"/>
              <w:rPr>
                <w:sz w:val="16"/>
              </w:rPr>
            </w:pPr>
            <w:r>
              <w:rPr>
                <w:sz w:val="16"/>
              </w:rPr>
              <w:t>de 15 à 20 points</w:t>
            </w:r>
          </w:p>
        </w:tc>
      </w:tr>
      <w:tr w:rsidR="00F64590">
        <w:trPr>
          <w:trHeight w:val="2639"/>
        </w:trPr>
        <w:tc>
          <w:tcPr>
            <w:tcW w:w="850" w:type="dxa"/>
            <w:vMerge w:val="restart"/>
          </w:tcPr>
          <w:p w:rsidR="00F64590" w:rsidRDefault="00F64590">
            <w:pPr>
              <w:pStyle w:val="TableParagraph"/>
              <w:rPr>
                <w:b/>
                <w:sz w:val="18"/>
              </w:rPr>
            </w:pPr>
          </w:p>
          <w:p w:rsidR="00F64590" w:rsidRDefault="00F64590">
            <w:pPr>
              <w:pStyle w:val="TableParagraph"/>
              <w:rPr>
                <w:b/>
                <w:sz w:val="18"/>
              </w:rPr>
            </w:pPr>
          </w:p>
          <w:p w:rsidR="00F64590" w:rsidRDefault="00F64590">
            <w:pPr>
              <w:pStyle w:val="TableParagraph"/>
              <w:rPr>
                <w:b/>
                <w:sz w:val="18"/>
              </w:rPr>
            </w:pPr>
          </w:p>
          <w:p w:rsidR="00F64590" w:rsidRDefault="00F64590">
            <w:pPr>
              <w:pStyle w:val="TableParagraph"/>
              <w:rPr>
                <w:b/>
                <w:sz w:val="18"/>
              </w:rPr>
            </w:pPr>
          </w:p>
          <w:p w:rsidR="00F64590" w:rsidRDefault="00F64590">
            <w:pPr>
              <w:pStyle w:val="TableParagraph"/>
              <w:rPr>
                <w:b/>
                <w:sz w:val="18"/>
              </w:rPr>
            </w:pPr>
          </w:p>
          <w:p w:rsidR="00F64590" w:rsidRDefault="00F64590">
            <w:pPr>
              <w:pStyle w:val="TableParagraph"/>
              <w:rPr>
                <w:b/>
                <w:sz w:val="18"/>
              </w:rPr>
            </w:pPr>
          </w:p>
          <w:p w:rsidR="00F64590" w:rsidRDefault="00F64590">
            <w:pPr>
              <w:pStyle w:val="TableParagraph"/>
              <w:spacing w:before="9"/>
              <w:rPr>
                <w:b/>
                <w:sz w:val="14"/>
              </w:rPr>
            </w:pPr>
          </w:p>
          <w:p w:rsidR="00F64590" w:rsidRDefault="00EA6996">
            <w:pPr>
              <w:pStyle w:val="TableParagraph"/>
              <w:ind w:left="119"/>
              <w:rPr>
                <w:b/>
                <w:sz w:val="16"/>
              </w:rPr>
            </w:pPr>
            <w:r>
              <w:rPr>
                <w:b/>
                <w:sz w:val="16"/>
              </w:rPr>
              <w:t>8 points</w:t>
            </w:r>
          </w:p>
        </w:tc>
        <w:tc>
          <w:tcPr>
            <w:tcW w:w="1705" w:type="dxa"/>
          </w:tcPr>
          <w:p w:rsidR="00F64590" w:rsidRPr="00F32D73" w:rsidRDefault="00EA6996">
            <w:pPr>
              <w:pStyle w:val="TableParagraph"/>
              <w:ind w:left="325" w:right="316" w:firstLine="6"/>
              <w:jc w:val="center"/>
              <w:rPr>
                <w:b/>
                <w:sz w:val="16"/>
              </w:rPr>
            </w:pPr>
            <w:r w:rsidRPr="00F32D73">
              <w:rPr>
                <w:b/>
                <w:sz w:val="16"/>
              </w:rPr>
              <w:t>Efficacité de l’organisation collective</w:t>
            </w:r>
          </w:p>
          <w:p w:rsidR="00F64590" w:rsidRPr="00F32D73" w:rsidRDefault="00EA6996">
            <w:pPr>
              <w:pStyle w:val="TableParagraph"/>
              <w:spacing w:before="7"/>
              <w:ind w:left="100" w:right="90"/>
              <w:jc w:val="center"/>
              <w:rPr>
                <w:i/>
                <w:sz w:val="16"/>
              </w:rPr>
            </w:pPr>
            <w:r w:rsidRPr="00F32D73">
              <w:rPr>
                <w:i/>
                <w:sz w:val="16"/>
              </w:rPr>
              <w:t>Degré d’organisation collective de l’équipe En attaque</w:t>
            </w:r>
          </w:p>
          <w:p w:rsidR="00F64590" w:rsidRDefault="00EA6996">
            <w:pPr>
              <w:pStyle w:val="TableParagraph"/>
              <w:spacing w:line="180" w:lineRule="exact"/>
              <w:ind w:left="100" w:right="90"/>
              <w:jc w:val="center"/>
              <w:rPr>
                <w:b/>
                <w:sz w:val="16"/>
              </w:rPr>
            </w:pPr>
            <w:r>
              <w:rPr>
                <w:b/>
                <w:sz w:val="16"/>
              </w:rPr>
              <w:t>(3 points)</w:t>
            </w:r>
          </w:p>
          <w:p w:rsidR="00F64590" w:rsidRDefault="00F64590">
            <w:pPr>
              <w:pStyle w:val="TableParagraph"/>
              <w:rPr>
                <w:b/>
                <w:sz w:val="18"/>
              </w:rPr>
            </w:pPr>
          </w:p>
          <w:p w:rsidR="00F64590" w:rsidRDefault="00F64590">
            <w:pPr>
              <w:pStyle w:val="TableParagraph"/>
              <w:spacing w:before="5"/>
              <w:rPr>
                <w:b/>
                <w:sz w:val="25"/>
              </w:rPr>
            </w:pPr>
          </w:p>
          <w:p w:rsidR="00F64590" w:rsidRDefault="00EA6996">
            <w:pPr>
              <w:pStyle w:val="TableParagraph"/>
              <w:spacing w:line="183" w:lineRule="exact"/>
              <w:ind w:left="102" w:right="90"/>
              <w:jc w:val="center"/>
              <w:rPr>
                <w:i/>
                <w:sz w:val="16"/>
              </w:rPr>
            </w:pPr>
            <w:r>
              <w:rPr>
                <w:i/>
                <w:sz w:val="16"/>
              </w:rPr>
              <w:t>En défense</w:t>
            </w:r>
          </w:p>
          <w:p w:rsidR="00F64590" w:rsidRDefault="00EA6996">
            <w:pPr>
              <w:pStyle w:val="TableParagraph"/>
              <w:spacing w:line="183" w:lineRule="exact"/>
              <w:ind w:left="100" w:right="90"/>
              <w:jc w:val="center"/>
              <w:rPr>
                <w:b/>
                <w:sz w:val="16"/>
              </w:rPr>
            </w:pPr>
            <w:r>
              <w:rPr>
                <w:b/>
                <w:sz w:val="16"/>
              </w:rPr>
              <w:t>(3 points</w:t>
            </w:r>
          </w:p>
        </w:tc>
        <w:tc>
          <w:tcPr>
            <w:tcW w:w="4110" w:type="dxa"/>
          </w:tcPr>
          <w:p w:rsidR="00F64590" w:rsidRPr="00F32D73" w:rsidRDefault="00EA6996">
            <w:pPr>
              <w:pStyle w:val="TableParagraph"/>
              <w:ind w:left="70" w:right="57"/>
              <w:jc w:val="both"/>
              <w:rPr>
                <w:sz w:val="16"/>
              </w:rPr>
            </w:pPr>
            <w:r w:rsidRPr="00F32D73">
              <w:rPr>
                <w:sz w:val="16"/>
              </w:rPr>
              <w:t>Organisation offensive simple : l’accès à l’espace de marque est fondée essentiellement sur l’action individuelle du porteur de balle ; début d’un jeu à deux partenaires dans le couloir central, pour accéder à l’espace de marque. Discontinuité du jeu.</w:t>
            </w:r>
          </w:p>
          <w:p w:rsidR="00F64590" w:rsidRPr="00F32D73" w:rsidRDefault="00F64590">
            <w:pPr>
              <w:pStyle w:val="TableParagraph"/>
              <w:rPr>
                <w:b/>
                <w:sz w:val="18"/>
              </w:rPr>
            </w:pPr>
          </w:p>
          <w:p w:rsidR="00F64590" w:rsidRPr="00F32D73" w:rsidRDefault="00F64590">
            <w:pPr>
              <w:pStyle w:val="TableParagraph"/>
              <w:spacing w:before="2"/>
              <w:rPr>
                <w:b/>
                <w:sz w:val="15"/>
              </w:rPr>
            </w:pPr>
          </w:p>
          <w:p w:rsidR="00F64590" w:rsidRPr="00F32D73" w:rsidRDefault="00EA6996">
            <w:pPr>
              <w:pStyle w:val="TableParagraph"/>
              <w:ind w:left="70" w:right="60"/>
              <w:jc w:val="both"/>
              <w:rPr>
                <w:sz w:val="16"/>
              </w:rPr>
            </w:pPr>
            <w:r w:rsidRPr="00F32D73">
              <w:rPr>
                <w:sz w:val="16"/>
              </w:rPr>
              <w:t>Organisation défensive désordonnée, caractérisée par la prise en responsabilité d’un adversaire direct.</w:t>
            </w:r>
          </w:p>
          <w:p w:rsidR="00F64590" w:rsidRPr="00F32D73" w:rsidRDefault="00EA6996">
            <w:pPr>
              <w:pStyle w:val="TableParagraph"/>
              <w:spacing w:line="182" w:lineRule="exact"/>
              <w:ind w:left="70"/>
              <w:rPr>
                <w:sz w:val="16"/>
              </w:rPr>
            </w:pPr>
            <w:r w:rsidRPr="00F32D73">
              <w:rPr>
                <w:sz w:val="16"/>
              </w:rPr>
              <w:t>Défense perméable loin du ballon.</w:t>
            </w:r>
          </w:p>
          <w:p w:rsidR="00F64590" w:rsidRPr="00F32D73" w:rsidRDefault="00EA6996">
            <w:pPr>
              <w:pStyle w:val="TableParagraph"/>
              <w:spacing w:before="1"/>
              <w:ind w:left="70" w:right="61"/>
              <w:jc w:val="both"/>
              <w:rPr>
                <w:sz w:val="16"/>
              </w:rPr>
            </w:pPr>
            <w:r w:rsidRPr="00F32D73">
              <w:rPr>
                <w:sz w:val="16"/>
              </w:rPr>
              <w:t>La pression directe sur le porteur, en nombre, permet parfois la récupération de la balle.</w:t>
            </w:r>
          </w:p>
        </w:tc>
        <w:tc>
          <w:tcPr>
            <w:tcW w:w="4964" w:type="dxa"/>
          </w:tcPr>
          <w:p w:rsidR="00F64590" w:rsidRDefault="00EA6996">
            <w:pPr>
              <w:pStyle w:val="TableParagraph"/>
              <w:ind w:left="67" w:right="61"/>
              <w:jc w:val="both"/>
              <w:rPr>
                <w:sz w:val="16"/>
              </w:rPr>
            </w:pPr>
            <w:r w:rsidRPr="00F32D73">
              <w:rPr>
                <w:sz w:val="16"/>
              </w:rPr>
              <w:t xml:space="preserve">Organisation offensive qui utilise prioritairement le jeu rapide pour prendre de vitesse le repli adverse et accéder à l’espace de  marque : la contre-attaque s’avère un moyen efficace de gain de la rencontre. </w:t>
            </w:r>
            <w:r>
              <w:rPr>
                <w:sz w:val="16"/>
              </w:rPr>
              <w:t>La balle progresse vers la cible dès l’entrée en possession par l’action coordonnée d’au moins deux partenaires. Début d’utilisation des couloirs latéraux et exploitation du jeu en profondeur</w:t>
            </w:r>
          </w:p>
          <w:p w:rsidR="00F64590" w:rsidRDefault="00EA6996">
            <w:pPr>
              <w:pStyle w:val="TableParagraph"/>
              <w:spacing w:before="14"/>
              <w:ind w:left="67" w:right="59"/>
              <w:jc w:val="both"/>
              <w:rPr>
                <w:sz w:val="16"/>
              </w:rPr>
            </w:pPr>
            <w:r>
              <w:rPr>
                <w:sz w:val="16"/>
              </w:rPr>
              <w:t>Organisation défensive qui cherche à récupérer rapidement le ballon, caractérisée par la prise en responsabilité d’un adversaire direct. La défense gêne la montée de balle, impose des temps d’arrêts à la progression de balle adverse en contestant l’avancée du porteur de balle ; les rôles se distribuent en fonction du statut défenseur sur porteur de balle / non porteur de balle. L’organisation adoptée favorise les interceptions. Début d’entraide.</w:t>
            </w:r>
          </w:p>
        </w:tc>
        <w:tc>
          <w:tcPr>
            <w:tcW w:w="4537" w:type="dxa"/>
          </w:tcPr>
          <w:p w:rsidR="00F64590" w:rsidRDefault="00EA6996">
            <w:pPr>
              <w:pStyle w:val="TableParagraph"/>
              <w:ind w:left="69" w:right="57"/>
              <w:jc w:val="both"/>
              <w:rPr>
                <w:sz w:val="16"/>
              </w:rPr>
            </w:pPr>
            <w:r>
              <w:rPr>
                <w:sz w:val="16"/>
              </w:rPr>
              <w:t>Organisation offensive qui se caractérise par l’utilisation opportune et volontaire d’un jeu rapide organisé en fonction du rapport de force existant. Organisation offensive capable de passer d’un jeu rapide à un jeu de transition en fonction du repli adverse.</w:t>
            </w:r>
          </w:p>
          <w:p w:rsidR="00F64590" w:rsidRDefault="00F64590">
            <w:pPr>
              <w:pStyle w:val="TableParagraph"/>
              <w:rPr>
                <w:b/>
                <w:sz w:val="18"/>
              </w:rPr>
            </w:pPr>
          </w:p>
          <w:p w:rsidR="00F64590" w:rsidRDefault="00F64590">
            <w:pPr>
              <w:pStyle w:val="TableParagraph"/>
              <w:spacing w:before="2"/>
              <w:rPr>
                <w:b/>
                <w:sz w:val="15"/>
              </w:rPr>
            </w:pPr>
          </w:p>
          <w:p w:rsidR="00F64590" w:rsidRDefault="00EA6996">
            <w:pPr>
              <w:pStyle w:val="TableParagraph"/>
              <w:ind w:left="69" w:right="58"/>
              <w:jc w:val="both"/>
              <w:rPr>
                <w:sz w:val="16"/>
              </w:rPr>
            </w:pPr>
            <w:r>
              <w:rPr>
                <w:sz w:val="16"/>
              </w:rPr>
              <w:t>Organisation défensive qui s’organise autour d’une consigne collective, en relation avec le jeu adverse : capable de se coordonner pour presser, harceler le porteur de balle et dissuader l’échange, le plus tôt possible (dès le repli).</w:t>
            </w:r>
          </w:p>
          <w:p w:rsidR="00F64590" w:rsidRDefault="00EA6996">
            <w:pPr>
              <w:pStyle w:val="TableParagraph"/>
              <w:spacing w:line="183" w:lineRule="exact"/>
              <w:ind w:left="69"/>
              <w:jc w:val="both"/>
              <w:rPr>
                <w:b/>
                <w:sz w:val="16"/>
              </w:rPr>
            </w:pPr>
            <w:r>
              <w:rPr>
                <w:sz w:val="16"/>
              </w:rPr>
              <w:t>Aide relativement efficace au partenaire dépassé</w:t>
            </w:r>
            <w:r>
              <w:rPr>
                <w:b/>
                <w:sz w:val="16"/>
              </w:rPr>
              <w:t>.</w:t>
            </w:r>
          </w:p>
        </w:tc>
      </w:tr>
      <w:tr w:rsidR="00F64590">
        <w:trPr>
          <w:trHeight w:val="369"/>
        </w:trPr>
        <w:tc>
          <w:tcPr>
            <w:tcW w:w="850" w:type="dxa"/>
            <w:vMerge/>
            <w:tcBorders>
              <w:top w:val="nil"/>
            </w:tcBorders>
          </w:tcPr>
          <w:p w:rsidR="00F64590" w:rsidRDefault="00F64590">
            <w:pPr>
              <w:rPr>
                <w:sz w:val="2"/>
                <w:szCs w:val="2"/>
              </w:rPr>
            </w:pPr>
          </w:p>
        </w:tc>
        <w:tc>
          <w:tcPr>
            <w:tcW w:w="1705" w:type="dxa"/>
          </w:tcPr>
          <w:p w:rsidR="00F64590" w:rsidRDefault="00EA6996">
            <w:pPr>
              <w:pStyle w:val="TableParagraph"/>
              <w:spacing w:line="178" w:lineRule="exact"/>
              <w:ind w:left="71"/>
              <w:rPr>
                <w:b/>
                <w:sz w:val="16"/>
              </w:rPr>
            </w:pPr>
            <w:r>
              <w:rPr>
                <w:b/>
                <w:sz w:val="16"/>
              </w:rPr>
              <w:t>Gain des rencontres</w:t>
            </w:r>
          </w:p>
          <w:p w:rsidR="00F64590" w:rsidRDefault="00EA6996">
            <w:pPr>
              <w:pStyle w:val="TableParagraph"/>
              <w:spacing w:before="1" w:line="171" w:lineRule="exact"/>
              <w:ind w:left="71"/>
              <w:rPr>
                <w:b/>
                <w:sz w:val="16"/>
              </w:rPr>
            </w:pPr>
            <w:r>
              <w:rPr>
                <w:b/>
                <w:sz w:val="16"/>
              </w:rPr>
              <w:t>(2 points)</w:t>
            </w:r>
          </w:p>
        </w:tc>
        <w:tc>
          <w:tcPr>
            <w:tcW w:w="13611" w:type="dxa"/>
            <w:gridSpan w:val="3"/>
          </w:tcPr>
          <w:p w:rsidR="00F64590" w:rsidRDefault="00EA6996">
            <w:pPr>
              <w:pStyle w:val="TableParagraph"/>
              <w:spacing w:before="89"/>
              <w:ind w:left="1902"/>
              <w:rPr>
                <w:sz w:val="16"/>
              </w:rPr>
            </w:pPr>
            <w:r>
              <w:rPr>
                <w:sz w:val="16"/>
              </w:rPr>
              <w:t>De 0 à 2 points en fonction du nombre de matchs joués et donc gagnés ou perdus (plus éventuellement les buts encaissés/ buts marqués)</w:t>
            </w:r>
          </w:p>
        </w:tc>
      </w:tr>
      <w:tr w:rsidR="00D84A63">
        <w:trPr>
          <w:trHeight w:val="2575"/>
        </w:trPr>
        <w:tc>
          <w:tcPr>
            <w:tcW w:w="850" w:type="dxa"/>
            <w:vMerge w:val="restart"/>
          </w:tcPr>
          <w:p w:rsidR="00D84A63" w:rsidRDefault="00D84A63">
            <w:pPr>
              <w:pStyle w:val="TableParagraph"/>
              <w:rPr>
                <w:b/>
                <w:sz w:val="18"/>
              </w:rPr>
            </w:pPr>
            <w:bookmarkStart w:id="0" w:name="_GoBack" w:colFirst="0" w:colLast="0"/>
          </w:p>
          <w:p w:rsidR="00D84A63" w:rsidRDefault="00D84A63">
            <w:pPr>
              <w:pStyle w:val="TableParagraph"/>
              <w:rPr>
                <w:b/>
                <w:sz w:val="18"/>
              </w:rPr>
            </w:pPr>
          </w:p>
          <w:p w:rsidR="00D84A63" w:rsidRDefault="00D84A63">
            <w:pPr>
              <w:pStyle w:val="TableParagraph"/>
              <w:rPr>
                <w:b/>
                <w:sz w:val="18"/>
              </w:rPr>
            </w:pPr>
          </w:p>
          <w:p w:rsidR="00D84A63" w:rsidRDefault="00D84A63">
            <w:pPr>
              <w:pStyle w:val="TableParagraph"/>
              <w:rPr>
                <w:b/>
                <w:sz w:val="18"/>
              </w:rPr>
            </w:pPr>
          </w:p>
          <w:p w:rsidR="00D84A63" w:rsidRDefault="00D84A63">
            <w:pPr>
              <w:pStyle w:val="TableParagraph"/>
              <w:rPr>
                <w:b/>
                <w:sz w:val="18"/>
              </w:rPr>
            </w:pPr>
          </w:p>
          <w:p w:rsidR="00D84A63" w:rsidRDefault="00D84A63">
            <w:pPr>
              <w:pStyle w:val="TableParagraph"/>
              <w:spacing w:before="154"/>
              <w:ind w:left="74"/>
              <w:rPr>
                <w:b/>
                <w:sz w:val="16"/>
              </w:rPr>
            </w:pPr>
            <w:r>
              <w:rPr>
                <w:b/>
                <w:sz w:val="16"/>
              </w:rPr>
              <w:t>12 points</w:t>
            </w:r>
          </w:p>
        </w:tc>
        <w:tc>
          <w:tcPr>
            <w:tcW w:w="1705" w:type="dxa"/>
            <w:tcBorders>
              <w:bottom w:val="nil"/>
            </w:tcBorders>
          </w:tcPr>
          <w:p w:rsidR="00D84A63" w:rsidRDefault="00D84A63">
            <w:pPr>
              <w:pStyle w:val="TableParagraph"/>
              <w:spacing w:before="85"/>
              <w:ind w:left="100" w:right="90"/>
              <w:jc w:val="center"/>
              <w:rPr>
                <w:b/>
                <w:sz w:val="16"/>
              </w:rPr>
            </w:pPr>
            <w:r>
              <w:rPr>
                <w:b/>
                <w:sz w:val="16"/>
              </w:rPr>
              <w:t>Contribution et efficacité individuelle du joueur dans l’organisation collective</w:t>
            </w:r>
          </w:p>
          <w:p w:rsidR="00D84A63" w:rsidRDefault="00D84A63">
            <w:pPr>
              <w:pStyle w:val="TableParagraph"/>
              <w:spacing w:before="4"/>
              <w:rPr>
                <w:b/>
                <w:sz w:val="16"/>
              </w:rPr>
            </w:pPr>
          </w:p>
          <w:p w:rsidR="00D84A63" w:rsidRDefault="00D84A63">
            <w:pPr>
              <w:pStyle w:val="TableParagraph"/>
              <w:ind w:left="105" w:right="90"/>
              <w:jc w:val="center"/>
              <w:rPr>
                <w:i/>
                <w:sz w:val="16"/>
              </w:rPr>
            </w:pPr>
            <w:r>
              <w:rPr>
                <w:i/>
                <w:sz w:val="16"/>
              </w:rPr>
              <w:t>En attaque : Prise de décisions dans la relation porteur de balle/ non porteur de balle</w:t>
            </w:r>
          </w:p>
          <w:p w:rsidR="00D84A63" w:rsidRDefault="00D84A63">
            <w:pPr>
              <w:pStyle w:val="TableParagraph"/>
              <w:spacing w:line="182" w:lineRule="exact"/>
              <w:ind w:left="100" w:right="90"/>
              <w:jc w:val="center"/>
              <w:rPr>
                <w:b/>
                <w:sz w:val="16"/>
              </w:rPr>
            </w:pPr>
            <w:r>
              <w:rPr>
                <w:b/>
                <w:sz w:val="16"/>
              </w:rPr>
              <w:t>(6 points)</w:t>
            </w:r>
          </w:p>
        </w:tc>
        <w:tc>
          <w:tcPr>
            <w:tcW w:w="4110" w:type="dxa"/>
            <w:tcBorders>
              <w:bottom w:val="nil"/>
            </w:tcBorders>
          </w:tcPr>
          <w:p w:rsidR="00D84A63" w:rsidRDefault="00D84A63">
            <w:pPr>
              <w:pStyle w:val="TableParagraph"/>
              <w:spacing w:line="178" w:lineRule="exact"/>
              <w:ind w:left="70"/>
              <w:rPr>
                <w:b/>
                <w:sz w:val="16"/>
              </w:rPr>
            </w:pPr>
            <w:r>
              <w:rPr>
                <w:b/>
                <w:sz w:val="16"/>
                <w:u w:val="single"/>
              </w:rPr>
              <w:t>Joueur passif ou peu vigilant.</w:t>
            </w:r>
          </w:p>
          <w:p w:rsidR="00D84A63" w:rsidRDefault="00D84A63">
            <w:pPr>
              <w:pStyle w:val="TableParagraph"/>
              <w:spacing w:before="1"/>
              <w:ind w:left="70" w:right="58"/>
              <w:jc w:val="both"/>
              <w:rPr>
                <w:b/>
                <w:sz w:val="16"/>
              </w:rPr>
            </w:pPr>
            <w:r>
              <w:rPr>
                <w:b/>
                <w:sz w:val="16"/>
              </w:rPr>
              <w:t>Connaissances réglementaires approximatives : parfois, difficulté de contrôle de soi.</w:t>
            </w:r>
          </w:p>
          <w:p w:rsidR="00D84A63" w:rsidRDefault="00D84A63">
            <w:pPr>
              <w:pStyle w:val="TableParagraph"/>
              <w:spacing w:before="3"/>
              <w:ind w:left="70" w:right="61"/>
              <w:jc w:val="both"/>
              <w:rPr>
                <w:sz w:val="16"/>
              </w:rPr>
            </w:pPr>
            <w:r>
              <w:rPr>
                <w:sz w:val="16"/>
              </w:rPr>
              <w:t>Joueur concerné si la balle arrive dans son espace de jeu.</w:t>
            </w:r>
          </w:p>
          <w:p w:rsidR="00D84A63" w:rsidRDefault="00D84A63">
            <w:pPr>
              <w:pStyle w:val="TableParagraph"/>
              <w:ind w:left="70" w:right="60"/>
              <w:jc w:val="both"/>
              <w:rPr>
                <w:sz w:val="16"/>
              </w:rPr>
            </w:pPr>
            <w:r>
              <w:rPr>
                <w:sz w:val="16"/>
                <w:u w:val="single"/>
              </w:rPr>
              <w:t>PB :</w:t>
            </w:r>
            <w:r>
              <w:rPr>
                <w:sz w:val="16"/>
              </w:rPr>
              <w:t xml:space="preserve"> peu d’analyse du contexte et de la pression défensive pour enclencher une action. Regard centré sur la balle.</w:t>
            </w:r>
          </w:p>
          <w:p w:rsidR="00D84A63" w:rsidRDefault="00D84A63">
            <w:pPr>
              <w:pStyle w:val="TableParagraph"/>
              <w:ind w:left="70" w:right="60"/>
              <w:jc w:val="both"/>
              <w:rPr>
                <w:sz w:val="16"/>
              </w:rPr>
            </w:pPr>
            <w:r>
              <w:rPr>
                <w:sz w:val="16"/>
                <w:u w:val="single"/>
              </w:rPr>
              <w:t xml:space="preserve">NPB </w:t>
            </w:r>
            <w:r>
              <w:rPr>
                <w:sz w:val="16"/>
              </w:rPr>
              <w:t>: suit le jeu, s’oriente par rapport au PB, peu d’enchaînement d’actions.</w:t>
            </w:r>
          </w:p>
        </w:tc>
        <w:tc>
          <w:tcPr>
            <w:tcW w:w="4964" w:type="dxa"/>
            <w:tcBorders>
              <w:bottom w:val="nil"/>
            </w:tcBorders>
          </w:tcPr>
          <w:p w:rsidR="00D84A63" w:rsidRDefault="00D84A63">
            <w:pPr>
              <w:pStyle w:val="TableParagraph"/>
              <w:spacing w:line="178" w:lineRule="exact"/>
              <w:ind w:left="67"/>
              <w:rPr>
                <w:b/>
                <w:sz w:val="16"/>
              </w:rPr>
            </w:pPr>
            <w:r>
              <w:rPr>
                <w:b/>
                <w:sz w:val="16"/>
                <w:u w:val="single"/>
              </w:rPr>
              <w:t>Joueur impliqué et lucide.</w:t>
            </w:r>
          </w:p>
          <w:p w:rsidR="00D84A63" w:rsidRDefault="00D84A63">
            <w:pPr>
              <w:pStyle w:val="TableParagraph"/>
              <w:spacing w:before="1"/>
              <w:ind w:left="67" w:right="58"/>
              <w:jc w:val="both"/>
              <w:rPr>
                <w:b/>
                <w:sz w:val="16"/>
              </w:rPr>
            </w:pPr>
            <w:r>
              <w:rPr>
                <w:b/>
                <w:sz w:val="16"/>
              </w:rPr>
              <w:t>Connaissances réglementaires précises qui lui permettent un engagement moteur maîtrisé et une attitude loyale dans l’opposition.</w:t>
            </w:r>
          </w:p>
          <w:p w:rsidR="00D84A63" w:rsidRDefault="00D84A63">
            <w:pPr>
              <w:pStyle w:val="TableParagraph"/>
              <w:spacing w:before="1"/>
              <w:ind w:left="67" w:right="60"/>
              <w:jc w:val="both"/>
              <w:rPr>
                <w:sz w:val="16"/>
              </w:rPr>
            </w:pPr>
            <w:r>
              <w:rPr>
                <w:sz w:val="16"/>
              </w:rPr>
              <w:t>Joueur attentif aux évènements du jeu, capable de réagir selon la circulation du ballon et la pression adverse. Capable d’enchaînements d’actions simples.</w:t>
            </w:r>
          </w:p>
          <w:p w:rsidR="00D84A63" w:rsidRDefault="00D84A63">
            <w:pPr>
              <w:pStyle w:val="TableParagraph"/>
              <w:ind w:left="67" w:right="60"/>
              <w:jc w:val="both"/>
              <w:rPr>
                <w:sz w:val="16"/>
              </w:rPr>
            </w:pPr>
            <w:r>
              <w:rPr>
                <w:sz w:val="16"/>
                <w:u w:val="single"/>
              </w:rPr>
              <w:t>PB :</w:t>
            </w:r>
            <w:r>
              <w:rPr>
                <w:sz w:val="16"/>
              </w:rPr>
              <w:t xml:space="preserve"> sait prendre des informations, et gère l’alternative jouer seul ou avec un partenaire en fonction du contexte de jeu pour faire progresser la balle, capable d’accélération. Repère situation favorable de tir.</w:t>
            </w:r>
          </w:p>
          <w:p w:rsidR="00D84A63" w:rsidRDefault="00D84A63">
            <w:pPr>
              <w:pStyle w:val="TableParagraph"/>
              <w:spacing w:before="2"/>
              <w:ind w:left="67"/>
              <w:rPr>
                <w:sz w:val="16"/>
              </w:rPr>
            </w:pPr>
            <w:r>
              <w:rPr>
                <w:sz w:val="16"/>
                <w:u w:val="single"/>
              </w:rPr>
              <w:t xml:space="preserve">NPB </w:t>
            </w:r>
            <w:r>
              <w:rPr>
                <w:sz w:val="16"/>
              </w:rPr>
              <w:t>: se rend disponible par rapport au partenaire (à distance de</w:t>
            </w:r>
          </w:p>
          <w:p w:rsidR="00D84A63" w:rsidRDefault="00D84A63">
            <w:pPr>
              <w:pStyle w:val="TableParagraph"/>
              <w:spacing w:before="5" w:line="182" w:lineRule="exact"/>
              <w:ind w:left="67" w:right="57"/>
              <w:jc w:val="both"/>
              <w:rPr>
                <w:sz w:val="16"/>
              </w:rPr>
            </w:pPr>
            <w:r>
              <w:rPr>
                <w:sz w:val="16"/>
              </w:rPr>
              <w:t>passe, en dehors de l’alignement porteur/ défenseur ; orientation partagée PB /cible ; changement de rythme).</w:t>
            </w:r>
          </w:p>
        </w:tc>
        <w:tc>
          <w:tcPr>
            <w:tcW w:w="4537" w:type="dxa"/>
            <w:tcBorders>
              <w:bottom w:val="nil"/>
            </w:tcBorders>
          </w:tcPr>
          <w:p w:rsidR="00D84A63" w:rsidRDefault="00D84A63">
            <w:pPr>
              <w:pStyle w:val="TableParagraph"/>
              <w:spacing w:line="178" w:lineRule="exact"/>
              <w:ind w:left="69"/>
              <w:rPr>
                <w:b/>
                <w:sz w:val="16"/>
              </w:rPr>
            </w:pPr>
            <w:r>
              <w:rPr>
                <w:b/>
                <w:sz w:val="16"/>
                <w:u w:val="single"/>
              </w:rPr>
              <w:t>Joueur organisateur.</w:t>
            </w:r>
          </w:p>
          <w:p w:rsidR="00D84A63" w:rsidRDefault="00D84A63">
            <w:pPr>
              <w:pStyle w:val="TableParagraph"/>
              <w:spacing w:before="1"/>
              <w:ind w:left="69"/>
              <w:rPr>
                <w:b/>
                <w:sz w:val="16"/>
              </w:rPr>
            </w:pPr>
            <w:r>
              <w:rPr>
                <w:b/>
                <w:sz w:val="16"/>
              </w:rPr>
              <w:t>Utilise les règles comme intentions tactiques.</w:t>
            </w:r>
          </w:p>
          <w:p w:rsidR="00D84A63" w:rsidRDefault="00D84A63">
            <w:pPr>
              <w:pStyle w:val="TableParagraph"/>
              <w:spacing w:before="1"/>
              <w:ind w:left="69" w:right="60"/>
              <w:jc w:val="both"/>
              <w:rPr>
                <w:sz w:val="16"/>
              </w:rPr>
            </w:pPr>
            <w:r>
              <w:rPr>
                <w:sz w:val="16"/>
              </w:rPr>
              <w:t>Joueur capable de s’impliquer dans une organisation collective choisie au préalable, de tenir un rôle spécifique au cours des phases de jeu (réorganise son équipe, conseille, sait dépasser des situations critiques générées par l’opposition…).</w:t>
            </w:r>
          </w:p>
          <w:p w:rsidR="00D84A63" w:rsidRDefault="00D84A63">
            <w:pPr>
              <w:pStyle w:val="TableParagraph"/>
              <w:ind w:left="69" w:right="59"/>
              <w:jc w:val="both"/>
              <w:rPr>
                <w:sz w:val="16"/>
              </w:rPr>
            </w:pPr>
            <w:r>
              <w:rPr>
                <w:sz w:val="16"/>
                <w:u w:val="single"/>
              </w:rPr>
              <w:t>PB :</w:t>
            </w:r>
            <w:r>
              <w:rPr>
                <w:sz w:val="16"/>
              </w:rPr>
              <w:t xml:space="preserve"> capable de conserver la balle sous pression défensive, de créer le danger par des changements de rythme ou de direction. Pertinent dans ses tentatives de tirs (capacité à varier puissance et précision pour surprendre le gardien de but)</w:t>
            </w:r>
          </w:p>
          <w:p w:rsidR="00D84A63" w:rsidRDefault="00D84A63">
            <w:pPr>
              <w:pStyle w:val="TableParagraph"/>
              <w:spacing w:before="7" w:line="182" w:lineRule="exact"/>
              <w:ind w:left="69" w:right="59"/>
              <w:jc w:val="both"/>
              <w:rPr>
                <w:sz w:val="16"/>
              </w:rPr>
            </w:pPr>
            <w:r>
              <w:rPr>
                <w:spacing w:val="-4"/>
                <w:sz w:val="16"/>
                <w:u w:val="single"/>
              </w:rPr>
              <w:t xml:space="preserve">NPB </w:t>
            </w:r>
            <w:r>
              <w:rPr>
                <w:sz w:val="16"/>
                <w:u w:val="single"/>
              </w:rPr>
              <w:t>:</w:t>
            </w:r>
            <w:r>
              <w:rPr>
                <w:sz w:val="16"/>
              </w:rPr>
              <w:t xml:space="preserve"> </w:t>
            </w:r>
            <w:r>
              <w:rPr>
                <w:spacing w:val="-5"/>
                <w:sz w:val="16"/>
              </w:rPr>
              <w:t xml:space="preserve">propose </w:t>
            </w:r>
            <w:r>
              <w:rPr>
                <w:spacing w:val="-4"/>
                <w:sz w:val="16"/>
              </w:rPr>
              <w:t xml:space="preserve">des </w:t>
            </w:r>
            <w:r>
              <w:rPr>
                <w:spacing w:val="-5"/>
                <w:sz w:val="16"/>
              </w:rPr>
              <w:t xml:space="preserve">alternatives </w:t>
            </w:r>
            <w:r>
              <w:rPr>
                <w:spacing w:val="-3"/>
                <w:sz w:val="16"/>
              </w:rPr>
              <w:t xml:space="preserve">de </w:t>
            </w:r>
            <w:r>
              <w:rPr>
                <w:spacing w:val="-4"/>
                <w:sz w:val="16"/>
              </w:rPr>
              <w:t xml:space="preserve">jeu près </w:t>
            </w:r>
            <w:r>
              <w:rPr>
                <w:spacing w:val="-3"/>
                <w:sz w:val="16"/>
              </w:rPr>
              <w:t xml:space="preserve">ou </w:t>
            </w:r>
            <w:r>
              <w:rPr>
                <w:spacing w:val="-4"/>
                <w:sz w:val="16"/>
              </w:rPr>
              <w:t xml:space="preserve">loin </w:t>
            </w:r>
            <w:r>
              <w:rPr>
                <w:sz w:val="16"/>
              </w:rPr>
              <w:t xml:space="preserve">du </w:t>
            </w:r>
            <w:r>
              <w:rPr>
                <w:spacing w:val="-5"/>
                <w:sz w:val="16"/>
              </w:rPr>
              <w:t xml:space="preserve">ballon, adaptées </w:t>
            </w:r>
            <w:r>
              <w:rPr>
                <w:sz w:val="16"/>
              </w:rPr>
              <w:t xml:space="preserve">au </w:t>
            </w:r>
            <w:r>
              <w:rPr>
                <w:spacing w:val="-5"/>
                <w:sz w:val="16"/>
              </w:rPr>
              <w:t xml:space="preserve">rapport </w:t>
            </w:r>
            <w:r>
              <w:rPr>
                <w:sz w:val="16"/>
              </w:rPr>
              <w:t xml:space="preserve">de </w:t>
            </w:r>
            <w:r>
              <w:rPr>
                <w:spacing w:val="-4"/>
                <w:sz w:val="16"/>
              </w:rPr>
              <w:t xml:space="preserve">force </w:t>
            </w:r>
            <w:r>
              <w:rPr>
                <w:spacing w:val="-3"/>
                <w:sz w:val="16"/>
              </w:rPr>
              <w:t xml:space="preserve">et </w:t>
            </w:r>
            <w:r>
              <w:rPr>
                <w:spacing w:val="-4"/>
                <w:sz w:val="16"/>
              </w:rPr>
              <w:t xml:space="preserve">aux </w:t>
            </w:r>
            <w:r>
              <w:rPr>
                <w:spacing w:val="-5"/>
                <w:sz w:val="16"/>
              </w:rPr>
              <w:t xml:space="preserve">qualités </w:t>
            </w:r>
            <w:r>
              <w:rPr>
                <w:spacing w:val="-3"/>
                <w:sz w:val="16"/>
              </w:rPr>
              <w:t xml:space="preserve">du </w:t>
            </w:r>
            <w:r>
              <w:rPr>
                <w:spacing w:val="-4"/>
                <w:sz w:val="16"/>
              </w:rPr>
              <w:t xml:space="preserve">porteur </w:t>
            </w:r>
            <w:r>
              <w:rPr>
                <w:spacing w:val="-3"/>
                <w:sz w:val="16"/>
              </w:rPr>
              <w:t>de</w:t>
            </w:r>
            <w:r>
              <w:rPr>
                <w:spacing w:val="-5"/>
                <w:sz w:val="16"/>
              </w:rPr>
              <w:t xml:space="preserve"> balle.</w:t>
            </w:r>
          </w:p>
        </w:tc>
      </w:tr>
      <w:bookmarkEnd w:id="0"/>
      <w:tr w:rsidR="00D84A63">
        <w:trPr>
          <w:trHeight w:val="918"/>
        </w:trPr>
        <w:tc>
          <w:tcPr>
            <w:tcW w:w="850" w:type="dxa"/>
            <w:vMerge/>
          </w:tcPr>
          <w:p w:rsidR="00D84A63" w:rsidRDefault="00D84A63">
            <w:pPr>
              <w:pStyle w:val="TableParagraph"/>
              <w:rPr>
                <w:rFonts w:ascii="Times New Roman"/>
                <w:sz w:val="16"/>
              </w:rPr>
            </w:pPr>
          </w:p>
        </w:tc>
        <w:tc>
          <w:tcPr>
            <w:tcW w:w="1705" w:type="dxa"/>
            <w:tcBorders>
              <w:top w:val="nil"/>
            </w:tcBorders>
          </w:tcPr>
          <w:p w:rsidR="00D84A63" w:rsidRDefault="00D84A63">
            <w:pPr>
              <w:pStyle w:val="TableParagraph"/>
              <w:ind w:left="71" w:right="100"/>
              <w:rPr>
                <w:i/>
                <w:sz w:val="16"/>
              </w:rPr>
            </w:pPr>
            <w:r>
              <w:rPr>
                <w:i/>
                <w:sz w:val="16"/>
              </w:rPr>
              <w:t>En défense : efficacité individuelle pour protéger la cible et récupérer la balle</w:t>
            </w:r>
          </w:p>
          <w:p w:rsidR="00D84A63" w:rsidRDefault="00D84A63">
            <w:pPr>
              <w:pStyle w:val="TableParagraph"/>
              <w:spacing w:before="4" w:line="167" w:lineRule="exact"/>
              <w:ind w:left="491"/>
              <w:rPr>
                <w:b/>
                <w:sz w:val="16"/>
              </w:rPr>
            </w:pPr>
            <w:r>
              <w:rPr>
                <w:b/>
                <w:sz w:val="16"/>
              </w:rPr>
              <w:t>(6 points)</w:t>
            </w:r>
          </w:p>
        </w:tc>
        <w:tc>
          <w:tcPr>
            <w:tcW w:w="4110" w:type="dxa"/>
            <w:tcBorders>
              <w:top w:val="nil"/>
            </w:tcBorders>
          </w:tcPr>
          <w:p w:rsidR="00D84A63" w:rsidRDefault="00D84A63">
            <w:pPr>
              <w:pStyle w:val="TableParagraph"/>
              <w:ind w:left="70" w:right="59"/>
              <w:jc w:val="both"/>
              <w:rPr>
                <w:sz w:val="16"/>
              </w:rPr>
            </w:pPr>
            <w:r>
              <w:rPr>
                <w:sz w:val="16"/>
                <w:u w:val="single"/>
              </w:rPr>
              <w:t>Défenseur :</w:t>
            </w:r>
            <w:r>
              <w:rPr>
                <w:sz w:val="16"/>
              </w:rPr>
              <w:t xml:space="preserve"> éprouve des difficultés à maintenir une distance réglementaire avec son adversaire direct. Souvent en déséquilibre, il commet des fautes.</w:t>
            </w:r>
          </w:p>
        </w:tc>
        <w:tc>
          <w:tcPr>
            <w:tcW w:w="4964" w:type="dxa"/>
            <w:tcBorders>
              <w:top w:val="nil"/>
            </w:tcBorders>
          </w:tcPr>
          <w:p w:rsidR="00D84A63" w:rsidRDefault="00D84A63">
            <w:pPr>
              <w:pStyle w:val="TableParagraph"/>
              <w:spacing w:line="180" w:lineRule="exact"/>
              <w:ind w:left="67"/>
              <w:rPr>
                <w:sz w:val="16"/>
                <w:u w:val="single"/>
              </w:rPr>
            </w:pPr>
          </w:p>
          <w:p w:rsidR="00D84A63" w:rsidRDefault="00D84A63">
            <w:pPr>
              <w:pStyle w:val="TableParagraph"/>
              <w:spacing w:line="180" w:lineRule="exact"/>
              <w:ind w:left="67"/>
              <w:rPr>
                <w:sz w:val="16"/>
              </w:rPr>
            </w:pPr>
            <w:r>
              <w:rPr>
                <w:sz w:val="16"/>
                <w:u w:val="single"/>
              </w:rPr>
              <w:t>Défenseur :</w:t>
            </w:r>
            <w:r>
              <w:rPr>
                <w:sz w:val="16"/>
              </w:rPr>
              <w:t xml:space="preserve"> gêne et ralentit la progression de balle.</w:t>
            </w:r>
          </w:p>
          <w:p w:rsidR="00D84A63" w:rsidRDefault="00D84A63">
            <w:pPr>
              <w:pStyle w:val="TableParagraph"/>
              <w:spacing w:before="1"/>
              <w:ind w:left="67"/>
              <w:rPr>
                <w:sz w:val="16"/>
              </w:rPr>
            </w:pPr>
            <w:r>
              <w:rPr>
                <w:sz w:val="16"/>
              </w:rPr>
              <w:t>Capable d’ajuster la distance le séparant de son adversaire, en fonction de la proximité de la balle.</w:t>
            </w:r>
          </w:p>
        </w:tc>
        <w:tc>
          <w:tcPr>
            <w:tcW w:w="4537" w:type="dxa"/>
            <w:tcBorders>
              <w:top w:val="nil"/>
            </w:tcBorders>
          </w:tcPr>
          <w:p w:rsidR="00D84A63" w:rsidRDefault="00D84A63">
            <w:pPr>
              <w:pStyle w:val="TableParagraph"/>
              <w:ind w:left="69" w:right="60"/>
              <w:jc w:val="both"/>
              <w:rPr>
                <w:sz w:val="16"/>
              </w:rPr>
            </w:pPr>
            <w:r>
              <w:rPr>
                <w:sz w:val="16"/>
                <w:u w:val="single"/>
              </w:rPr>
              <w:t>Défenseur :</w:t>
            </w:r>
            <w:r>
              <w:rPr>
                <w:sz w:val="16"/>
              </w:rPr>
              <w:t xml:space="preserve"> variété des placements et déplacements en fonction des intentions défensives de harcèlement/dissuasion. Capable d’intervenir si partenaire dépassé.</w:t>
            </w:r>
          </w:p>
        </w:tc>
      </w:tr>
    </w:tbl>
    <w:p w:rsidR="00EA6996" w:rsidRDefault="00EA6996"/>
    <w:sectPr w:rsidR="00EA6996">
      <w:headerReference w:type="default" r:id="rId7"/>
      <w:footerReference w:type="default" r:id="rId8"/>
      <w:pgSz w:w="16840" w:h="11910" w:orient="landscape"/>
      <w:pgMar w:top="1400" w:right="140" w:bottom="920" w:left="300" w:header="17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0C" w:rsidRDefault="009E460C">
      <w:r>
        <w:separator/>
      </w:r>
    </w:p>
  </w:endnote>
  <w:endnote w:type="continuationSeparator" w:id="0">
    <w:p w:rsidR="009E460C" w:rsidRDefault="009E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90" w:rsidRDefault="00F32D73">
    <w:pPr>
      <w:pStyle w:val="Corpsdetexte"/>
      <w:spacing w:line="14" w:lineRule="auto"/>
    </w:pPr>
    <w:r>
      <w:rPr>
        <w:noProof/>
        <w:lang w:eastAsia="fr-FR"/>
      </w:rPr>
      <mc:AlternateContent>
        <mc:Choice Requires="wps">
          <w:drawing>
            <wp:anchor distT="0" distB="0" distL="114300" distR="114300" simplePos="0" relativeHeight="503310440" behindDoc="1" locked="0" layoutInCell="1" allowOverlap="1">
              <wp:simplePos x="0" y="0"/>
              <wp:positionH relativeFrom="page">
                <wp:posOffset>886460</wp:posOffset>
              </wp:positionH>
              <wp:positionV relativeFrom="page">
                <wp:posOffset>6955790</wp:posOffset>
              </wp:positionV>
              <wp:extent cx="3465195" cy="167005"/>
              <wp:effectExtent l="635"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590" w:rsidRDefault="00EA6996">
                          <w:pPr>
                            <w:pStyle w:val="Corpsdetexte"/>
                            <w:spacing w:before="12"/>
                            <w:ind w:left="20"/>
                          </w:pPr>
                          <w:r>
                            <w:t xml:space="preserve">© Ministère de l'éducation nationale &gt; </w:t>
                          </w:r>
                          <w:hyperlink r:id="rId1">
                            <w:r>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547.7pt;width:272.85pt;height:13.15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z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i/DOPKTCKMSzvx44Xm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" filled="f" stroked="f">
              <v:textbox inset="0,0,0,0">
                <w:txbxContent>
                  <w:p w:rsidR="00F64590" w:rsidRDefault="00EA6996">
                    <w:pPr>
                      <w:pStyle w:val="Corpsdetexte"/>
                      <w:spacing w:before="12"/>
                      <w:ind w:left="20"/>
                    </w:pPr>
                    <w:r>
                      <w:t>© Ministère de l'</w:t>
                    </w:r>
                    <w:r>
                      <w:t xml:space="preserve">éducation nationale &gt; </w:t>
                    </w:r>
                    <w:hyperlink r:id="rId2">
                      <w:r>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0C" w:rsidRDefault="009E460C">
      <w:r>
        <w:separator/>
      </w:r>
    </w:p>
  </w:footnote>
  <w:footnote w:type="continuationSeparator" w:id="0">
    <w:p w:rsidR="009E460C" w:rsidRDefault="009E4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90" w:rsidRDefault="00EA6996">
    <w:pPr>
      <w:pStyle w:val="Corpsdetexte"/>
      <w:spacing w:line="14" w:lineRule="auto"/>
    </w:pPr>
    <w:r>
      <w:rPr>
        <w:noProof/>
        <w:lang w:eastAsia="fr-FR"/>
      </w:rPr>
      <w:drawing>
        <wp:anchor distT="0" distB="0" distL="0" distR="0" simplePos="0" relativeHeight="268429343" behindDoc="1" locked="0" layoutInCell="1" allowOverlap="1">
          <wp:simplePos x="0" y="0"/>
          <wp:positionH relativeFrom="page">
            <wp:posOffset>1007744</wp:posOffset>
          </wp:positionH>
          <wp:positionV relativeFrom="page">
            <wp:posOffset>107962</wp:posOffset>
          </wp:positionV>
          <wp:extent cx="1637664" cy="759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7664" cy="759447"/>
                  </a:xfrm>
                  <a:prstGeom prst="rect">
                    <a:avLst/>
                  </a:prstGeom>
                </pic:spPr>
              </pic:pic>
            </a:graphicData>
          </a:graphic>
        </wp:anchor>
      </w:drawing>
    </w:r>
    <w:r w:rsidR="00F32D73">
      <w:rPr>
        <w:noProof/>
        <w:lang w:eastAsia="fr-FR"/>
      </w:rPr>
      <mc:AlternateContent>
        <mc:Choice Requires="wps">
          <w:drawing>
            <wp:anchor distT="0" distB="0" distL="114300" distR="114300" simplePos="0" relativeHeight="503310392" behindDoc="1" locked="0" layoutInCell="1" allowOverlap="1">
              <wp:simplePos x="0" y="0"/>
              <wp:positionH relativeFrom="page">
                <wp:posOffset>880745</wp:posOffset>
              </wp:positionH>
              <wp:positionV relativeFrom="page">
                <wp:posOffset>887095</wp:posOffset>
              </wp:positionV>
              <wp:extent cx="8930640" cy="0"/>
              <wp:effectExtent l="13970" t="10795" r="889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40C7" id="Line 3" o:spid="_x0000_s1026" style="position:absolute;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85pt" to="772.5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7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xTSd5T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" strokeweight=".48pt">
              <w10:wrap anchorx="page" anchory="page"/>
            </v:line>
          </w:pict>
        </mc:Fallback>
      </mc:AlternateContent>
    </w:r>
    <w:r w:rsidR="00F32D73">
      <w:rPr>
        <w:noProof/>
        <w:lang w:eastAsia="fr-FR"/>
      </w:rPr>
      <mc:AlternateContent>
        <mc:Choice Requires="wps">
          <w:drawing>
            <wp:anchor distT="0" distB="0" distL="114300" distR="114300" simplePos="0" relativeHeight="503310416" behindDoc="1" locked="0" layoutInCell="1" allowOverlap="1">
              <wp:simplePos x="0" y="0"/>
              <wp:positionH relativeFrom="page">
                <wp:posOffset>7986395</wp:posOffset>
              </wp:positionH>
              <wp:positionV relativeFrom="page">
                <wp:posOffset>677545</wp:posOffset>
              </wp:positionV>
              <wp:extent cx="1818005" cy="167005"/>
              <wp:effectExtent l="4445"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590" w:rsidRDefault="00EA6996">
                          <w:pPr>
                            <w:pStyle w:val="Corpsdetexte"/>
                            <w:spacing w:before="12"/>
                            <w:ind w:left="20"/>
                          </w:pPr>
                          <w:r>
                            <w:t>Bulletin officiel n° 9 du 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8.85pt;margin-top:53.35pt;width:143.15pt;height:13.1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SrA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" filled="f" stroked="f">
              <v:textbox inset="0,0,0,0">
                <w:txbxContent>
                  <w:p w:rsidR="00F64590" w:rsidRDefault="00EA6996">
                    <w:pPr>
                      <w:pStyle w:val="Corpsdetexte"/>
                      <w:spacing w:before="12"/>
                      <w:ind w:left="20"/>
                    </w:pPr>
                    <w:r>
                      <w:t>Bulletin officiel n° 9 du 1-3-2018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21"/>
    <w:multiLevelType w:val="hybridMultilevel"/>
    <w:tmpl w:val="14CC2A08"/>
    <w:lvl w:ilvl="0" w:tplc="F470EC92">
      <w:numFmt w:val="bullet"/>
      <w:lvlText w:val="-"/>
      <w:lvlJc w:val="left"/>
      <w:pPr>
        <w:ind w:left="70" w:hanging="99"/>
      </w:pPr>
      <w:rPr>
        <w:rFonts w:ascii="Arial" w:eastAsia="Arial" w:hAnsi="Arial" w:cs="Arial" w:hint="default"/>
        <w:w w:val="100"/>
        <w:sz w:val="16"/>
        <w:szCs w:val="16"/>
      </w:rPr>
    </w:lvl>
    <w:lvl w:ilvl="1" w:tplc="4BD211B4">
      <w:numFmt w:val="bullet"/>
      <w:lvlText w:val="•"/>
      <w:lvlJc w:val="left"/>
      <w:pPr>
        <w:ind w:left="1432" w:hanging="99"/>
      </w:pPr>
      <w:rPr>
        <w:rFonts w:hint="default"/>
      </w:rPr>
    </w:lvl>
    <w:lvl w:ilvl="2" w:tplc="7714C3DE">
      <w:numFmt w:val="bullet"/>
      <w:lvlText w:val="•"/>
      <w:lvlJc w:val="left"/>
      <w:pPr>
        <w:ind w:left="2784" w:hanging="99"/>
      </w:pPr>
      <w:rPr>
        <w:rFonts w:hint="default"/>
      </w:rPr>
    </w:lvl>
    <w:lvl w:ilvl="3" w:tplc="B546CF84">
      <w:numFmt w:val="bullet"/>
      <w:lvlText w:val="•"/>
      <w:lvlJc w:val="left"/>
      <w:pPr>
        <w:ind w:left="4136" w:hanging="99"/>
      </w:pPr>
      <w:rPr>
        <w:rFonts w:hint="default"/>
      </w:rPr>
    </w:lvl>
    <w:lvl w:ilvl="4" w:tplc="7CC05228">
      <w:numFmt w:val="bullet"/>
      <w:lvlText w:val="•"/>
      <w:lvlJc w:val="left"/>
      <w:pPr>
        <w:ind w:left="5488" w:hanging="99"/>
      </w:pPr>
      <w:rPr>
        <w:rFonts w:hint="default"/>
      </w:rPr>
    </w:lvl>
    <w:lvl w:ilvl="5" w:tplc="1D245C92">
      <w:numFmt w:val="bullet"/>
      <w:lvlText w:val="•"/>
      <w:lvlJc w:val="left"/>
      <w:pPr>
        <w:ind w:left="6840" w:hanging="99"/>
      </w:pPr>
      <w:rPr>
        <w:rFonts w:hint="default"/>
      </w:rPr>
    </w:lvl>
    <w:lvl w:ilvl="6" w:tplc="B96ACCC6">
      <w:numFmt w:val="bullet"/>
      <w:lvlText w:val="•"/>
      <w:lvlJc w:val="left"/>
      <w:pPr>
        <w:ind w:left="8192" w:hanging="99"/>
      </w:pPr>
      <w:rPr>
        <w:rFonts w:hint="default"/>
      </w:rPr>
    </w:lvl>
    <w:lvl w:ilvl="7" w:tplc="687E01CC">
      <w:numFmt w:val="bullet"/>
      <w:lvlText w:val="•"/>
      <w:lvlJc w:val="left"/>
      <w:pPr>
        <w:ind w:left="9544" w:hanging="99"/>
      </w:pPr>
      <w:rPr>
        <w:rFonts w:hint="default"/>
      </w:rPr>
    </w:lvl>
    <w:lvl w:ilvl="8" w:tplc="523630F2">
      <w:numFmt w:val="bullet"/>
      <w:lvlText w:val="•"/>
      <w:lvlJc w:val="left"/>
      <w:pPr>
        <w:ind w:left="10896" w:hanging="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90"/>
    <w:rsid w:val="009E460C"/>
    <w:rsid w:val="00D84A63"/>
    <w:rsid w:val="00EA6996"/>
    <w:rsid w:val="00F32D73"/>
    <w:rsid w:val="00F64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BAB0E-6181-4331-9955-F6E2F134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5301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2018-03-06T21:17:00Z</dcterms:created>
  <dcterms:modified xsi:type="dcterms:W3CDTF">2018-03-07T12:31:00Z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