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1BA5B" w14:textId="77777777" w:rsidR="00695B50" w:rsidRPr="006821F8" w:rsidRDefault="00695B50" w:rsidP="00695B50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6821F8">
        <w:rPr>
          <w:rFonts w:ascii="Arial" w:hAnsi="Arial" w:cs="Arial"/>
          <w:b/>
          <w:sz w:val="28"/>
          <w:szCs w:val="28"/>
        </w:rPr>
        <w:t>CHAMP D’APPRENTISSAGE n° 5 : « Réaliser une activité physique pour développer ses ressources et s’entretenir »</w:t>
      </w:r>
    </w:p>
    <w:p w14:paraId="4A044D95" w14:textId="4764B694" w:rsidR="00695B50" w:rsidRDefault="00695B50" w:rsidP="00695B50">
      <w:pPr>
        <w:ind w:left="1560" w:hanging="709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2977"/>
      </w:tblGrid>
      <w:tr w:rsidR="008E6564" w14:paraId="7638BE8C" w14:textId="77777777" w:rsidTr="008E6564">
        <w:trPr>
          <w:jc w:val="center"/>
        </w:trPr>
        <w:tc>
          <w:tcPr>
            <w:tcW w:w="987" w:type="dxa"/>
          </w:tcPr>
          <w:p w14:paraId="7EB844D7" w14:textId="27131AF9" w:rsidR="008E6564" w:rsidRDefault="008E6564" w:rsidP="00695B50">
            <w:pPr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APSA</w:t>
            </w:r>
          </w:p>
        </w:tc>
        <w:tc>
          <w:tcPr>
            <w:tcW w:w="2977" w:type="dxa"/>
          </w:tcPr>
          <w:p w14:paraId="7E35EFAD" w14:textId="77777777" w:rsidR="008E6564" w:rsidRDefault="008E6564" w:rsidP="00695B50">
            <w:pPr>
              <w:rPr>
                <w:rFonts w:ascii="Arial" w:eastAsia="Arial" w:hAnsi="Arial" w:cs="Arial"/>
                <w:b/>
                <w:szCs w:val="24"/>
              </w:rPr>
            </w:pPr>
          </w:p>
        </w:tc>
      </w:tr>
    </w:tbl>
    <w:p w14:paraId="7DBD327D" w14:textId="77777777" w:rsidR="008E6564" w:rsidRPr="006821F8" w:rsidRDefault="008E6564" w:rsidP="00695B50">
      <w:pPr>
        <w:ind w:left="1560" w:hanging="709"/>
        <w:rPr>
          <w:rFonts w:ascii="Arial" w:eastAsia="Arial" w:hAnsi="Arial" w:cs="Arial"/>
          <w:b/>
          <w:szCs w:val="24"/>
        </w:rPr>
      </w:pPr>
    </w:p>
    <w:p w14:paraId="22212399" w14:textId="77777777" w:rsidR="00147DA5" w:rsidRPr="006821F8" w:rsidRDefault="00147DA5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6C5F6F9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2448A084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s’évalue le jour du CCF </w:t>
      </w:r>
      <w:r w:rsidR="000B22B6" w:rsidRPr="006821F8">
        <w:rPr>
          <w:rFonts w:ascii="Arial" w:eastAsia="Arial" w:hAnsi="Arial" w:cs="Arial"/>
          <w:sz w:val="22"/>
          <w:szCs w:val="22"/>
        </w:rPr>
        <w:t>en observant la séance d’entrainement proposée par le candidat</w:t>
      </w:r>
      <w:r w:rsidR="00D16AA5" w:rsidRPr="006821F8">
        <w:rPr>
          <w:rFonts w:ascii="Arial" w:eastAsia="Arial" w:hAnsi="Arial" w:cs="Arial"/>
          <w:sz w:val="22"/>
          <w:szCs w:val="22"/>
        </w:rPr>
        <w:t>, régulée en fonction de ses ressentis</w:t>
      </w:r>
      <w:r w:rsidR="006821F8" w:rsidRPr="00EC4407">
        <w:rPr>
          <w:rFonts w:ascii="Arial" w:eastAsia="Arial" w:hAnsi="Arial" w:cs="Arial"/>
          <w:sz w:val="22"/>
          <w:szCs w:val="22"/>
        </w:rPr>
        <w:t>, par une épreuve d’évaluation respectant le référentiel national du champ d’apprentissage</w:t>
      </w:r>
      <w:r w:rsidR="00D16AA5" w:rsidRPr="006821F8">
        <w:rPr>
          <w:rFonts w:ascii="Arial" w:eastAsia="Arial" w:hAnsi="Arial" w:cs="Arial"/>
          <w:sz w:val="22"/>
          <w:szCs w:val="22"/>
        </w:rPr>
        <w:t xml:space="preserve"> </w:t>
      </w:r>
    </w:p>
    <w:p w14:paraId="1142A553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l’</w:t>
      </w:r>
      <w:r w:rsidR="006821F8">
        <w:rPr>
          <w:rFonts w:ascii="Arial" w:eastAsia="Arial" w:hAnsi="Arial" w:cs="Arial"/>
          <w:sz w:val="22"/>
          <w:szCs w:val="22"/>
        </w:rPr>
        <w:t>AFL3</w:t>
      </w:r>
      <w:r w:rsidRPr="006821F8">
        <w:rPr>
          <w:rFonts w:ascii="Arial" w:eastAsia="Arial" w:hAnsi="Arial" w:cs="Arial"/>
          <w:sz w:val="22"/>
          <w:szCs w:val="22"/>
        </w:rPr>
        <w:t xml:space="preserve"> s’évaluent au fil </w:t>
      </w:r>
      <w:r w:rsidR="006079E4" w:rsidRPr="006821F8">
        <w:rPr>
          <w:rFonts w:ascii="Arial" w:eastAsia="Arial" w:hAnsi="Arial" w:cs="Arial"/>
          <w:sz w:val="22"/>
          <w:szCs w:val="22"/>
        </w:rPr>
        <w:t xml:space="preserve">de </w:t>
      </w:r>
      <w:r w:rsidRPr="006821F8">
        <w:rPr>
          <w:rFonts w:ascii="Arial" w:eastAsia="Arial" w:hAnsi="Arial" w:cs="Arial"/>
          <w:sz w:val="22"/>
          <w:szCs w:val="22"/>
        </w:rPr>
        <w:t>la séquence d’enseignement et éventuellement le jour de l’épreuve, en référence aux repères nationaux</w:t>
      </w:r>
    </w:p>
    <w:p w14:paraId="44CD0B90" w14:textId="77777777" w:rsidR="006079E4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0" w:name="_Hlk10453957"/>
      <w:r w:rsidRPr="006821F8">
        <w:rPr>
          <w:rFonts w:ascii="Arial" w:hAnsi="Arial" w:cs="Arial"/>
          <w:sz w:val="22"/>
          <w:szCs w:val="22"/>
        </w:rPr>
        <w:t>L’évaluation de l’</w:t>
      </w:r>
      <w:r w:rsidR="006821F8">
        <w:rPr>
          <w:rFonts w:ascii="Arial" w:hAnsi="Arial" w:cs="Arial"/>
          <w:sz w:val="22"/>
          <w:szCs w:val="22"/>
        </w:rPr>
        <w:t>AFL2</w:t>
      </w:r>
      <w:r w:rsidRPr="006821F8">
        <w:rPr>
          <w:rFonts w:ascii="Arial" w:hAnsi="Arial" w:cs="Arial"/>
          <w:sz w:val="22"/>
          <w:szCs w:val="22"/>
        </w:rPr>
        <w:t xml:space="preserve"> peut s’appuyer sur </w:t>
      </w:r>
      <w:r w:rsidR="006079E4" w:rsidRPr="006821F8">
        <w:rPr>
          <w:rFonts w:ascii="Arial" w:hAnsi="Arial" w:cs="Arial"/>
          <w:sz w:val="22"/>
          <w:szCs w:val="22"/>
        </w:rPr>
        <w:t>le</w:t>
      </w:r>
      <w:r w:rsidRPr="006821F8">
        <w:rPr>
          <w:rFonts w:ascii="Arial" w:hAnsi="Arial" w:cs="Arial"/>
          <w:sz w:val="22"/>
          <w:szCs w:val="22"/>
        </w:rPr>
        <w:t xml:space="preserve"> carnet </w:t>
      </w:r>
      <w:bookmarkEnd w:id="0"/>
      <w:r w:rsidR="00D57422" w:rsidRPr="006821F8">
        <w:rPr>
          <w:rFonts w:ascii="Arial" w:hAnsi="Arial" w:cs="Arial"/>
          <w:sz w:val="22"/>
          <w:szCs w:val="22"/>
        </w:rPr>
        <w:t>de suivi</w:t>
      </w:r>
    </w:p>
    <w:p w14:paraId="094165D0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14:paraId="2CEB8F84" w14:textId="77777777" w:rsidR="00695B50" w:rsidRPr="006821F8" w:rsidRDefault="00695B50" w:rsidP="00695B50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63ED823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29A9217E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est noté sur 12 points</w:t>
      </w:r>
      <w:r w:rsidR="00AE57B9" w:rsidRPr="006821F8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5876AA60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Les </w:t>
      </w:r>
      <w:r w:rsidR="006821F8"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3 sont notés sur 8 points. </w:t>
      </w:r>
      <w:r w:rsidR="003F7D9E" w:rsidRPr="006821F8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5B730947" w14:textId="77777777" w:rsidR="00695B50" w:rsidRPr="006821F8" w:rsidRDefault="00695B50" w:rsidP="00695B50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6737D1EA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637CF824" w14:textId="77777777" w:rsidR="006079E4" w:rsidRPr="006821F8" w:rsidRDefault="006821F8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210865" w:rsidRPr="006821F8">
        <w:rPr>
          <w:rFonts w:ascii="Arial" w:eastAsia="Arial" w:hAnsi="Arial" w:cs="Arial"/>
          <w:sz w:val="22"/>
          <w:szCs w:val="22"/>
        </w:rPr>
        <w:t xml:space="preserve"> et AFL2 : </w:t>
      </w:r>
      <w:r w:rsidR="006079E4" w:rsidRPr="006821F8">
        <w:rPr>
          <w:rFonts w:ascii="Arial" w:eastAsia="Arial" w:hAnsi="Arial" w:cs="Arial"/>
          <w:sz w:val="22"/>
          <w:szCs w:val="22"/>
        </w:rPr>
        <w:t>Choix du projet d’entrainement</w:t>
      </w:r>
    </w:p>
    <w:p w14:paraId="4C4859C4" w14:textId="77777777" w:rsidR="006079E4" w:rsidRPr="006821F8" w:rsidRDefault="006821F8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D57422" w:rsidRPr="006821F8">
        <w:rPr>
          <w:rFonts w:ascii="Arial" w:eastAsia="Arial" w:hAnsi="Arial" w:cs="Arial"/>
          <w:sz w:val="22"/>
          <w:szCs w:val="22"/>
        </w:rPr>
        <w:t xml:space="preserve"> et AFL2 : </w:t>
      </w:r>
      <w:r w:rsidR="006079E4" w:rsidRPr="006821F8">
        <w:rPr>
          <w:rFonts w:ascii="Arial" w:eastAsia="Arial" w:hAnsi="Arial" w:cs="Arial"/>
          <w:sz w:val="22"/>
          <w:szCs w:val="22"/>
        </w:rPr>
        <w:t xml:space="preserve">Choix </w:t>
      </w:r>
      <w:r w:rsidR="000E7A3F" w:rsidRPr="006821F8">
        <w:rPr>
          <w:rFonts w:ascii="Arial" w:eastAsia="Arial" w:hAnsi="Arial" w:cs="Arial"/>
          <w:sz w:val="22"/>
          <w:szCs w:val="22"/>
        </w:rPr>
        <w:t xml:space="preserve">des paramètres d’entrainement </w:t>
      </w:r>
    </w:p>
    <w:p w14:paraId="0EA88222" w14:textId="77777777" w:rsidR="00210865" w:rsidRPr="006821F8" w:rsidRDefault="00210865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AFL3 : Choix d</w:t>
      </w:r>
      <w:r w:rsidR="00D57422" w:rsidRPr="006821F8">
        <w:rPr>
          <w:rFonts w:ascii="Arial" w:eastAsia="Arial" w:hAnsi="Arial" w:cs="Arial"/>
          <w:sz w:val="22"/>
          <w:szCs w:val="22"/>
        </w:rPr>
        <w:t>es modalités d’aide de son ou ses partenaires</w:t>
      </w:r>
    </w:p>
    <w:p w14:paraId="7195023A" w14:textId="77777777" w:rsidR="00695B50" w:rsidRPr="006821F8" w:rsidRDefault="00DE53C8" w:rsidP="00D57422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AFL2 et AFL3 : </w:t>
      </w:r>
      <w:r w:rsidR="006821F8">
        <w:rPr>
          <w:rFonts w:ascii="Arial" w:eastAsia="Arial" w:hAnsi="Arial" w:cs="Arial"/>
          <w:sz w:val="22"/>
          <w:szCs w:val="22"/>
        </w:rPr>
        <w:t>L</w:t>
      </w:r>
      <w:r w:rsidR="005602F8" w:rsidRPr="006821F8">
        <w:rPr>
          <w:rFonts w:ascii="Arial" w:eastAsia="Arial" w:hAnsi="Arial" w:cs="Arial"/>
          <w:sz w:val="22"/>
          <w:szCs w:val="22"/>
        </w:rPr>
        <w:t>e poids relatif dans l’évaluation</w:t>
      </w:r>
    </w:p>
    <w:p w14:paraId="7C836DE4" w14:textId="77777777" w:rsidR="00695B50" w:rsidRPr="006821F8" w:rsidRDefault="00695B50" w:rsidP="00695B50">
      <w:pPr>
        <w:ind w:left="426"/>
        <w:rPr>
          <w:rFonts w:ascii="Arial" w:hAnsi="Arial" w:cs="Arial"/>
          <w:b/>
          <w:sz w:val="16"/>
        </w:rPr>
      </w:pPr>
    </w:p>
    <w:p w14:paraId="591BC9B9" w14:textId="77777777" w:rsidR="00695B50" w:rsidRPr="006821F8" w:rsidRDefault="00695B50" w:rsidP="00695B50">
      <w:pPr>
        <w:spacing w:after="160" w:line="259" w:lineRule="auto"/>
        <w:rPr>
          <w:rFonts w:ascii="Arial" w:hAnsi="Arial" w:cs="Arial"/>
          <w:b/>
          <w:sz w:val="16"/>
        </w:rPr>
      </w:pPr>
      <w:r w:rsidRPr="006821F8">
        <w:rPr>
          <w:rFonts w:ascii="Arial" w:hAnsi="Arial" w:cs="Arial"/>
          <w:b/>
          <w:sz w:val="16"/>
        </w:rPr>
        <w:br w:type="page"/>
      </w:r>
    </w:p>
    <w:p w14:paraId="1A16AED4" w14:textId="77777777" w:rsidR="006901CD" w:rsidRPr="006821F8" w:rsidRDefault="006901CD" w:rsidP="00A617B9">
      <w:pPr>
        <w:pStyle w:val="Default"/>
        <w:rPr>
          <w:b/>
          <w:color w:val="auto"/>
          <w:sz w:val="22"/>
          <w:szCs w:val="22"/>
        </w:rPr>
      </w:pPr>
      <w:r w:rsidRPr="006821F8">
        <w:rPr>
          <w:b/>
          <w:sz w:val="22"/>
          <w:szCs w:val="22"/>
        </w:rPr>
        <w:lastRenderedPageBreak/>
        <w:t>R</w:t>
      </w:r>
      <w:r w:rsidRPr="006821F8">
        <w:rPr>
          <w:rFonts w:eastAsia="Arial"/>
          <w:b/>
          <w:sz w:val="22"/>
          <w:szCs w:val="22"/>
        </w:rPr>
        <w:t>epères d’évaluation de l’</w:t>
      </w:r>
      <w:r w:rsidR="006821F8" w:rsidRPr="006821F8">
        <w:rPr>
          <w:rFonts w:eastAsia="Arial"/>
          <w:b/>
          <w:sz w:val="22"/>
          <w:szCs w:val="22"/>
        </w:rPr>
        <w:t>AFL1</w:t>
      </w:r>
      <w:r w:rsidRPr="006821F8">
        <w:rPr>
          <w:color w:val="auto"/>
          <w:sz w:val="22"/>
          <w:szCs w:val="22"/>
        </w:rPr>
        <w:t xml:space="preserve"> : </w:t>
      </w:r>
      <w:r w:rsidRPr="006821F8">
        <w:rPr>
          <w:bCs/>
          <w:color w:val="auto"/>
          <w:sz w:val="22"/>
          <w:szCs w:val="22"/>
        </w:rPr>
        <w:t>S’engager pour obtenir les effets recherchés selon son projet personnel, en faisant des choix de paramètres d’entraînement cohérents avec le thème retenu</w:t>
      </w:r>
    </w:p>
    <w:p w14:paraId="733DAEB7" w14:textId="77777777" w:rsidR="000D3433" w:rsidRPr="006821F8" w:rsidRDefault="000D3433" w:rsidP="000D3433">
      <w:pPr>
        <w:ind w:left="426"/>
        <w:jc w:val="center"/>
        <w:rPr>
          <w:rFonts w:ascii="Arial" w:eastAsiaTheme="minorHAnsi" w:hAnsi="Arial" w:cs="Arial"/>
          <w:sz w:val="20"/>
          <w:lang w:eastAsia="en-US"/>
        </w:rPr>
      </w:pPr>
    </w:p>
    <w:tbl>
      <w:tblPr>
        <w:tblW w:w="152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977"/>
        <w:gridCol w:w="3260"/>
        <w:gridCol w:w="3477"/>
      </w:tblGrid>
      <w:tr w:rsidR="00A617B9" w:rsidRPr="006821F8" w14:paraId="4BEAD18D" w14:textId="77777777" w:rsidTr="008E6564">
        <w:trPr>
          <w:trHeight w:val="144"/>
        </w:trPr>
        <w:tc>
          <w:tcPr>
            <w:tcW w:w="15242" w:type="dxa"/>
            <w:gridSpan w:val="5"/>
            <w:shd w:val="clear" w:color="auto" w:fill="FFFF00"/>
          </w:tcPr>
          <w:p w14:paraId="2064890F" w14:textId="77777777" w:rsidR="00A617B9" w:rsidRPr="006821F8" w:rsidRDefault="00A617B9" w:rsidP="00E64099">
            <w:pPr>
              <w:pStyle w:val="Titre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821F8">
              <w:rPr>
                <w:rFonts w:ascii="Arial" w:hAnsi="Arial" w:cs="Arial"/>
                <w:color w:val="000000" w:themeColor="text1"/>
                <w:sz w:val="20"/>
              </w:rPr>
              <w:t>Principe d’élaboration des épreuves du champ d’apprentissage</w:t>
            </w:r>
          </w:p>
        </w:tc>
      </w:tr>
      <w:tr w:rsidR="00A617B9" w:rsidRPr="006821F8" w14:paraId="35646AA0" w14:textId="77777777" w:rsidTr="000716CD">
        <w:trPr>
          <w:trHeight w:val="1473"/>
        </w:trPr>
        <w:tc>
          <w:tcPr>
            <w:tcW w:w="15242" w:type="dxa"/>
            <w:gridSpan w:val="5"/>
            <w:vAlign w:val="center"/>
          </w:tcPr>
          <w:p w14:paraId="0A75E48B" w14:textId="77777777" w:rsidR="00A617B9" w:rsidRPr="006821F8" w:rsidRDefault="00A617B9" w:rsidP="00A617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.</w:t>
            </w:r>
          </w:p>
          <w:p w14:paraId="67CD6590" w14:textId="6C41194A" w:rsidR="00A617B9" w:rsidRDefault="00A617B9" w:rsidP="00D24790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 xml:space="preserve">- L’épreuve engage le candidat dans la mise en œuvre d’un thème d’entrainement motivé par le choix d’un projet personnel. </w:t>
            </w:r>
          </w:p>
          <w:p w14:paraId="18741A8E" w14:textId="77777777" w:rsidR="008E6564" w:rsidRPr="006821F8" w:rsidRDefault="008E6564" w:rsidP="00D2479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3094337" w14:textId="77777777" w:rsidR="00A617B9" w:rsidRPr="006821F8" w:rsidRDefault="00A617B9" w:rsidP="00D17848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351CD7" w:rsidRPr="006821F8" w14:paraId="7B3C721A" w14:textId="77777777" w:rsidTr="008E6564">
        <w:trPr>
          <w:cantSplit/>
          <w:trHeight w:val="312"/>
        </w:trPr>
        <w:tc>
          <w:tcPr>
            <w:tcW w:w="2835" w:type="dxa"/>
            <w:vAlign w:val="center"/>
          </w:tcPr>
          <w:p w14:paraId="685B4733" w14:textId="77777777" w:rsidR="00302923" w:rsidRPr="006821F8" w:rsidRDefault="00351CD7" w:rsidP="00D2479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6821F8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10C76FE2" w14:textId="77777777" w:rsidR="00302923" w:rsidRPr="006821F8" w:rsidRDefault="003F2D1A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d'acquisition 1 </w:t>
            </w:r>
            <w:r w:rsidR="00302923" w:rsidRPr="006821F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4E1BEA59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1FFA297B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477" w:type="dxa"/>
            <w:shd w:val="clear" w:color="auto" w:fill="FFFF00"/>
            <w:vAlign w:val="center"/>
          </w:tcPr>
          <w:p w14:paraId="5B1622A8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351CD7" w:rsidRPr="006821F8" w14:paraId="01C7A97A" w14:textId="77777777" w:rsidTr="00EC015C">
        <w:trPr>
          <w:trHeight w:val="1328"/>
        </w:trPr>
        <w:tc>
          <w:tcPr>
            <w:tcW w:w="2835" w:type="dxa"/>
            <w:vAlign w:val="center"/>
          </w:tcPr>
          <w:p w14:paraId="58F23EF0" w14:textId="77777777" w:rsidR="00302923" w:rsidRPr="006821F8" w:rsidRDefault="00302923" w:rsidP="00351CD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bCs/>
                <w:color w:val="auto"/>
                <w:sz w:val="20"/>
                <w:szCs w:val="20"/>
              </w:rPr>
              <w:t>Produire</w:t>
            </w:r>
          </w:p>
        </w:tc>
        <w:tc>
          <w:tcPr>
            <w:tcW w:w="2693" w:type="dxa"/>
            <w:vAlign w:val="center"/>
          </w:tcPr>
          <w:p w14:paraId="2C666698" w14:textId="53A77D9A" w:rsidR="00302923" w:rsidRPr="006821F8" w:rsidRDefault="00302923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FED518C" w14:textId="392B7800" w:rsidR="00302923" w:rsidRPr="006821F8" w:rsidRDefault="00302923" w:rsidP="00AD3604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DE4AAB6" w14:textId="77777777" w:rsidR="00302923" w:rsidRPr="006821F8" w:rsidRDefault="00302923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477" w:type="dxa"/>
            <w:vAlign w:val="center"/>
          </w:tcPr>
          <w:p w14:paraId="08B0CD7B" w14:textId="77777777" w:rsidR="007C4D0C" w:rsidRPr="006821F8" w:rsidRDefault="007C4D0C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351CD7" w:rsidRPr="006821F8" w14:paraId="362B6B41" w14:textId="77777777" w:rsidTr="00EC015C">
        <w:trPr>
          <w:trHeight w:val="1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CDD" w14:textId="77777777" w:rsidR="00113BC2" w:rsidRPr="006821F8" w:rsidRDefault="00113BC2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Analyser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219" w14:textId="77777777" w:rsidR="00113BC2" w:rsidRPr="006821F8" w:rsidRDefault="00113BC2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79C5" w14:textId="77777777" w:rsidR="00113BC2" w:rsidRPr="006821F8" w:rsidRDefault="00113BC2" w:rsidP="00351CD7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21AE" w14:textId="66F09A84" w:rsidR="00113BC2" w:rsidRPr="006821F8" w:rsidRDefault="00113BC2" w:rsidP="00F27E2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FAD" w14:textId="5B8A6279" w:rsidR="00165E14" w:rsidRPr="006821F8" w:rsidRDefault="00165E14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</w:tbl>
    <w:p w14:paraId="3ABE7CAC" w14:textId="77777777" w:rsidR="00147DA5" w:rsidRPr="006821F8" w:rsidRDefault="00147DA5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 w:rsidRPr="006821F8">
        <w:rPr>
          <w:rFonts w:ascii="Arial" w:eastAsiaTheme="minorHAnsi" w:hAnsi="Arial" w:cs="Arial"/>
          <w:b/>
          <w:color w:val="000000"/>
          <w:sz w:val="20"/>
          <w:lang w:eastAsia="en-US"/>
        </w:rPr>
        <w:br/>
      </w:r>
    </w:p>
    <w:p w14:paraId="38C1A714" w14:textId="77777777" w:rsidR="00147DA5" w:rsidRPr="006821F8" w:rsidRDefault="00147DA5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 w:rsidRPr="006821F8">
        <w:rPr>
          <w:rFonts w:ascii="Arial" w:eastAsiaTheme="minorHAnsi" w:hAnsi="Arial" w:cs="Arial"/>
          <w:b/>
          <w:color w:val="000000"/>
          <w:sz w:val="20"/>
          <w:lang w:eastAsia="en-US"/>
        </w:rPr>
        <w:br w:type="page"/>
      </w:r>
    </w:p>
    <w:p w14:paraId="783386E0" w14:textId="77777777" w:rsidR="0059701F" w:rsidRPr="006821F8" w:rsidRDefault="0059701F" w:rsidP="006821F8">
      <w:pPr>
        <w:pStyle w:val="Default"/>
        <w:ind w:left="426"/>
        <w:rPr>
          <w:bCs/>
          <w:sz w:val="22"/>
          <w:szCs w:val="22"/>
        </w:rPr>
      </w:pPr>
      <w:r w:rsidRPr="006821F8">
        <w:rPr>
          <w:b/>
          <w:sz w:val="22"/>
          <w:szCs w:val="22"/>
        </w:rPr>
        <w:lastRenderedPageBreak/>
        <w:t>Repères d’évaluation de l’AFL2</w:t>
      </w:r>
      <w:r w:rsidR="006821F8"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S’entraîner, individuellement ou collectivement, pour développer ses ressources et s’entretenir en fonction des effets recherchés »</w:t>
      </w:r>
    </w:p>
    <w:p w14:paraId="6BCA2CB1" w14:textId="77777777" w:rsidR="0059701F" w:rsidRPr="006821F8" w:rsidRDefault="0059701F" w:rsidP="006821F8">
      <w:pPr>
        <w:pStyle w:val="Default"/>
        <w:ind w:left="426"/>
        <w:rPr>
          <w:b/>
          <w:sz w:val="22"/>
          <w:szCs w:val="22"/>
        </w:rPr>
      </w:pPr>
    </w:p>
    <w:p w14:paraId="4621831A" w14:textId="77777777" w:rsidR="0059701F" w:rsidRPr="006821F8" w:rsidRDefault="0059701F" w:rsidP="006821F8">
      <w:pPr>
        <w:pStyle w:val="Default"/>
        <w:ind w:left="426"/>
        <w:rPr>
          <w:bCs/>
          <w:sz w:val="20"/>
          <w:szCs w:val="20"/>
        </w:rPr>
      </w:pPr>
      <w:r w:rsidRPr="006821F8">
        <w:rPr>
          <w:bCs/>
          <w:sz w:val="22"/>
          <w:szCs w:val="22"/>
        </w:rPr>
        <w:t>A</w:t>
      </w:r>
      <w:r w:rsidRPr="006821F8">
        <w:rPr>
          <w:bCs/>
          <w:sz w:val="20"/>
          <w:szCs w:val="20"/>
        </w:rPr>
        <w:t xml:space="preserve">ppui </w:t>
      </w:r>
      <w:r w:rsidR="00684C37" w:rsidRPr="006821F8">
        <w:rPr>
          <w:bCs/>
          <w:sz w:val="20"/>
          <w:szCs w:val="20"/>
        </w:rPr>
        <w:t xml:space="preserve">possible </w:t>
      </w:r>
      <w:r w:rsidRPr="006821F8">
        <w:rPr>
          <w:bCs/>
          <w:sz w:val="20"/>
          <w:szCs w:val="20"/>
        </w:rPr>
        <w:t xml:space="preserve">sur le carnet </w:t>
      </w:r>
      <w:r w:rsidR="002E4FCE" w:rsidRPr="006821F8">
        <w:rPr>
          <w:bCs/>
          <w:sz w:val="20"/>
          <w:szCs w:val="20"/>
        </w:rPr>
        <w:t>de suivi</w:t>
      </w:r>
      <w:r w:rsidRPr="006821F8">
        <w:rPr>
          <w:bCs/>
          <w:sz w:val="20"/>
          <w:szCs w:val="20"/>
        </w:rPr>
        <w:t xml:space="preserve"> </w:t>
      </w:r>
      <w:r w:rsidR="006821F8">
        <w:rPr>
          <w:bCs/>
          <w:sz w:val="20"/>
          <w:szCs w:val="20"/>
        </w:rPr>
        <w:t>d’entraînement</w:t>
      </w:r>
    </w:p>
    <w:p w14:paraId="0EAF5F94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3686"/>
      </w:tblGrid>
      <w:tr w:rsidR="0059701F" w:rsidRPr="006821F8" w14:paraId="677944E0" w14:textId="77777777" w:rsidTr="008E6564">
        <w:tc>
          <w:tcPr>
            <w:tcW w:w="3685" w:type="dxa"/>
            <w:shd w:val="clear" w:color="auto" w:fill="FFFF00"/>
            <w:vAlign w:val="center"/>
          </w:tcPr>
          <w:p w14:paraId="78F27027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07C57BA3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3E24CC3F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24BC50EC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4</w:t>
            </w:r>
          </w:p>
        </w:tc>
      </w:tr>
      <w:tr w:rsidR="0059701F" w:rsidRPr="006821F8" w14:paraId="10D028C8" w14:textId="77777777" w:rsidTr="006821F8">
        <w:trPr>
          <w:trHeight w:val="1646"/>
        </w:trPr>
        <w:tc>
          <w:tcPr>
            <w:tcW w:w="3685" w:type="dxa"/>
            <w:shd w:val="clear" w:color="auto" w:fill="auto"/>
          </w:tcPr>
          <w:p w14:paraId="06E4322D" w14:textId="24D3455C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A4AD7FA" w14:textId="77777777" w:rsidR="0059701F" w:rsidRPr="006821F8" w:rsidRDefault="0059701F" w:rsidP="00E9766F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AA359A6" w14:textId="29D9D529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9377D56" w14:textId="37649CA2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CB940A6" w14:textId="77777777" w:rsidR="0059701F" w:rsidRPr="006821F8" w:rsidRDefault="0059701F" w:rsidP="006821F8">
      <w:pPr>
        <w:pStyle w:val="Default"/>
        <w:ind w:left="426"/>
        <w:rPr>
          <w:color w:val="auto"/>
          <w:sz w:val="20"/>
          <w:szCs w:val="20"/>
        </w:rPr>
      </w:pPr>
    </w:p>
    <w:p w14:paraId="09F1D86E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p w14:paraId="1E08A950" w14:textId="77777777" w:rsidR="0059701F" w:rsidRPr="006821F8" w:rsidRDefault="0059701F" w:rsidP="006821F8">
      <w:pPr>
        <w:pStyle w:val="Default"/>
        <w:ind w:left="426"/>
        <w:rPr>
          <w:b/>
          <w:sz w:val="22"/>
          <w:szCs w:val="22"/>
        </w:rPr>
      </w:pPr>
      <w:r w:rsidRPr="006821F8">
        <w:rPr>
          <w:b/>
          <w:sz w:val="22"/>
          <w:szCs w:val="22"/>
        </w:rPr>
        <w:t>Repères d’évaluation de l’AFL3</w:t>
      </w:r>
      <w:r w:rsidR="006821F8"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Coopérer pour faire progresser »</w:t>
      </w:r>
    </w:p>
    <w:p w14:paraId="4D542220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3686"/>
      </w:tblGrid>
      <w:tr w:rsidR="0059701F" w:rsidRPr="006821F8" w14:paraId="64ED261E" w14:textId="77777777" w:rsidTr="008E6564">
        <w:tc>
          <w:tcPr>
            <w:tcW w:w="3685" w:type="dxa"/>
            <w:shd w:val="clear" w:color="auto" w:fill="FFFF00"/>
            <w:vAlign w:val="center"/>
          </w:tcPr>
          <w:p w14:paraId="2FAE0B14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42EBD5DB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6C78195C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5671C05A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59701F" w:rsidRPr="006821F8" w14:paraId="3891909C" w14:textId="77777777" w:rsidTr="006821F8">
        <w:trPr>
          <w:trHeight w:val="1131"/>
        </w:trPr>
        <w:tc>
          <w:tcPr>
            <w:tcW w:w="3685" w:type="dxa"/>
            <w:shd w:val="clear" w:color="auto" w:fill="auto"/>
            <w:vAlign w:val="center"/>
          </w:tcPr>
          <w:p w14:paraId="340B6CB3" w14:textId="77777777" w:rsidR="0059701F" w:rsidRPr="006821F8" w:rsidRDefault="0059701F" w:rsidP="00565DE1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A46B02B" w14:textId="77777777" w:rsidR="0059701F" w:rsidRPr="006821F8" w:rsidRDefault="0059701F" w:rsidP="00565D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9EFBF5" w14:textId="77777777" w:rsidR="0059701F" w:rsidRPr="006821F8" w:rsidRDefault="0059701F" w:rsidP="00E9766F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2AB8170" w14:textId="77777777" w:rsidR="0059701F" w:rsidRPr="006821F8" w:rsidRDefault="0059701F" w:rsidP="00E9766F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365924E" w14:textId="77777777" w:rsidR="00213D33" w:rsidRPr="006821F8" w:rsidRDefault="00213D33" w:rsidP="006821F8">
      <w:pPr>
        <w:ind w:left="426"/>
        <w:rPr>
          <w:rFonts w:ascii="Arial" w:hAnsi="Arial" w:cs="Arial"/>
          <w:sz w:val="20"/>
        </w:rPr>
      </w:pPr>
    </w:p>
    <w:sectPr w:rsidR="00213D33" w:rsidRPr="006821F8" w:rsidSect="007272DC">
      <w:headerReference w:type="default" r:id="rId7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901E" w14:textId="77777777" w:rsidR="00082926" w:rsidRDefault="00082926" w:rsidP="002E4FCE">
      <w:r>
        <w:separator/>
      </w:r>
    </w:p>
  </w:endnote>
  <w:endnote w:type="continuationSeparator" w:id="0">
    <w:p w14:paraId="05D158E1" w14:textId="77777777" w:rsidR="00082926" w:rsidRDefault="00082926" w:rsidP="002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1F26F" w14:textId="77777777" w:rsidR="00082926" w:rsidRDefault="00082926" w:rsidP="002E4FCE">
      <w:r>
        <w:separator/>
      </w:r>
    </w:p>
  </w:footnote>
  <w:footnote w:type="continuationSeparator" w:id="0">
    <w:p w14:paraId="4675BD17" w14:textId="77777777" w:rsidR="00082926" w:rsidRDefault="00082926" w:rsidP="002E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D453" w14:textId="6B0540BA" w:rsidR="002E4FCE" w:rsidRPr="008E6564" w:rsidRDefault="008E6564">
    <w:pPr>
      <w:pStyle w:val="En-tte"/>
      <w:rPr>
        <w:rFonts w:asciiTheme="minorHAnsi" w:hAnsiTheme="minorHAnsi" w:cstheme="minorHAnsi"/>
        <w:sz w:val="22"/>
        <w:szCs w:val="22"/>
      </w:rPr>
    </w:pPr>
    <w:r w:rsidRPr="008E6564">
      <w:rPr>
        <w:rFonts w:asciiTheme="minorHAnsi" w:hAnsiTheme="minorHAnsi" w:cstheme="minorHAnsi"/>
        <w:sz w:val="22"/>
        <w:szCs w:val="22"/>
      </w:rPr>
      <w:t>Académie de Poitiers. 2020.</w:t>
    </w:r>
    <w:r w:rsidRPr="008E6564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8E6564">
      <w:rPr>
        <w:rFonts w:asciiTheme="minorHAnsi" w:hAnsiTheme="minorHAnsi" w:cstheme="minorHAnsi"/>
        <w:sz w:val="22"/>
        <w:szCs w:val="22"/>
      </w:rPr>
      <w:t>Référentiels CA 5</w:t>
    </w:r>
    <w:r w:rsidRPr="008E6564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8E6564">
      <w:rPr>
        <w:rFonts w:asciiTheme="minorHAnsi" w:hAnsiTheme="minorHAnsi" w:cstheme="minorHAnsi"/>
        <w:sz w:val="22"/>
        <w:szCs w:val="22"/>
      </w:rPr>
      <w:t>Lycée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719A"/>
    <w:multiLevelType w:val="hybridMultilevel"/>
    <w:tmpl w:val="5FB65F06"/>
    <w:lvl w:ilvl="0" w:tplc="76749C2A"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67692"/>
    <w:multiLevelType w:val="hybridMultilevel"/>
    <w:tmpl w:val="EDE030B6"/>
    <w:lvl w:ilvl="0" w:tplc="EEC6D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33"/>
    <w:rsid w:val="0001570D"/>
    <w:rsid w:val="00082926"/>
    <w:rsid w:val="000B0584"/>
    <w:rsid w:val="000B22B6"/>
    <w:rsid w:val="000D3433"/>
    <w:rsid w:val="000D4B2B"/>
    <w:rsid w:val="000E7A3F"/>
    <w:rsid w:val="00113BC2"/>
    <w:rsid w:val="0012623C"/>
    <w:rsid w:val="00147DA5"/>
    <w:rsid w:val="00165E14"/>
    <w:rsid w:val="001A4627"/>
    <w:rsid w:val="001D2BB9"/>
    <w:rsid w:val="001F3FB6"/>
    <w:rsid w:val="00210865"/>
    <w:rsid w:val="00213D33"/>
    <w:rsid w:val="002537E9"/>
    <w:rsid w:val="00253E1C"/>
    <w:rsid w:val="002E4FCE"/>
    <w:rsid w:val="00302923"/>
    <w:rsid w:val="00342ED6"/>
    <w:rsid w:val="00351CD7"/>
    <w:rsid w:val="00377E53"/>
    <w:rsid w:val="003F2D1A"/>
    <w:rsid w:val="003F7D9E"/>
    <w:rsid w:val="004109BC"/>
    <w:rsid w:val="004211DB"/>
    <w:rsid w:val="004502B8"/>
    <w:rsid w:val="00495CD0"/>
    <w:rsid w:val="0055039B"/>
    <w:rsid w:val="005602F8"/>
    <w:rsid w:val="00561DD3"/>
    <w:rsid w:val="00565DE1"/>
    <w:rsid w:val="0059701F"/>
    <w:rsid w:val="005A476B"/>
    <w:rsid w:val="006020B6"/>
    <w:rsid w:val="006079E4"/>
    <w:rsid w:val="006821F8"/>
    <w:rsid w:val="00684C37"/>
    <w:rsid w:val="006901CD"/>
    <w:rsid w:val="00695B50"/>
    <w:rsid w:val="006967A0"/>
    <w:rsid w:val="006A6796"/>
    <w:rsid w:val="006F6951"/>
    <w:rsid w:val="007272DC"/>
    <w:rsid w:val="00754C7C"/>
    <w:rsid w:val="007804A4"/>
    <w:rsid w:val="007B49BE"/>
    <w:rsid w:val="007C4D0C"/>
    <w:rsid w:val="007F07B5"/>
    <w:rsid w:val="008111DE"/>
    <w:rsid w:val="008337D5"/>
    <w:rsid w:val="00845263"/>
    <w:rsid w:val="00853838"/>
    <w:rsid w:val="008A4C9E"/>
    <w:rsid w:val="008E6564"/>
    <w:rsid w:val="00906154"/>
    <w:rsid w:val="009271F2"/>
    <w:rsid w:val="00932298"/>
    <w:rsid w:val="009B4286"/>
    <w:rsid w:val="009B6E28"/>
    <w:rsid w:val="009C3DC5"/>
    <w:rsid w:val="009D5CC7"/>
    <w:rsid w:val="00A03AAF"/>
    <w:rsid w:val="00A22929"/>
    <w:rsid w:val="00A617B9"/>
    <w:rsid w:val="00AB4585"/>
    <w:rsid w:val="00AD3604"/>
    <w:rsid w:val="00AE57B9"/>
    <w:rsid w:val="00AF3F3A"/>
    <w:rsid w:val="00B07824"/>
    <w:rsid w:val="00B844B6"/>
    <w:rsid w:val="00B9380F"/>
    <w:rsid w:val="00BB557C"/>
    <w:rsid w:val="00C3525F"/>
    <w:rsid w:val="00C37A7E"/>
    <w:rsid w:val="00CB338D"/>
    <w:rsid w:val="00D06385"/>
    <w:rsid w:val="00D16AA5"/>
    <w:rsid w:val="00D17848"/>
    <w:rsid w:val="00D31B4D"/>
    <w:rsid w:val="00D33911"/>
    <w:rsid w:val="00D57422"/>
    <w:rsid w:val="00D76519"/>
    <w:rsid w:val="00D851C9"/>
    <w:rsid w:val="00DC6120"/>
    <w:rsid w:val="00DE53C8"/>
    <w:rsid w:val="00E64099"/>
    <w:rsid w:val="00EC015C"/>
    <w:rsid w:val="00ED3BE7"/>
    <w:rsid w:val="00F23AFF"/>
    <w:rsid w:val="00F27E2E"/>
    <w:rsid w:val="00F60877"/>
    <w:rsid w:val="00F61A3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5B402"/>
  <w15:docId w15:val="{A8141753-B81A-48B6-A7F8-648E43F5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3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3433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343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0D343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0D34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0D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30292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0292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38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1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154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5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E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Goreau</dc:creator>
  <cp:lastModifiedBy>Jean-Charles Thévenot</cp:lastModifiedBy>
  <cp:revision>8</cp:revision>
  <cp:lastPrinted>2019-05-23T15:07:00Z</cp:lastPrinted>
  <dcterms:created xsi:type="dcterms:W3CDTF">2019-07-04T09:29:00Z</dcterms:created>
  <dcterms:modified xsi:type="dcterms:W3CDTF">2020-02-19T19:16:00Z</dcterms:modified>
</cp:coreProperties>
</file>