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13" w:rsidRDefault="00911413">
      <w:pPr>
        <w:pStyle w:val="Corpsdetexte"/>
        <w:spacing w:before="1"/>
        <w:rPr>
          <w:rFonts w:ascii="Times New Roman"/>
          <w:sz w:val="22"/>
        </w:rPr>
      </w:pPr>
    </w:p>
    <w:p w:rsidR="00911413" w:rsidRPr="006C70AF" w:rsidRDefault="006C70AF">
      <w:pPr>
        <w:spacing w:before="93" w:after="5"/>
        <w:ind w:left="177"/>
        <w:rPr>
          <w:b/>
          <w:sz w:val="20"/>
        </w:rPr>
      </w:pPr>
      <w:bookmarkStart w:id="0" w:name="_GoBack"/>
      <w:r>
        <w:rPr>
          <w:noProof/>
          <w:lang w:eastAsia="fr-FR"/>
        </w:rPr>
        <mc:AlternateContent>
          <mc:Choice Requires="wps">
            <w:drawing>
              <wp:anchor distT="0" distB="0" distL="114300" distR="114300" simplePos="0" relativeHeight="251657728" behindDoc="1" locked="0" layoutInCell="1" allowOverlap="1">
                <wp:simplePos x="0" y="0"/>
                <wp:positionH relativeFrom="page">
                  <wp:posOffset>7002145</wp:posOffset>
                </wp:positionH>
                <wp:positionV relativeFrom="paragraph">
                  <wp:posOffset>885190</wp:posOffset>
                </wp:positionV>
                <wp:extent cx="29210" cy="4445"/>
                <wp:effectExtent l="1270" t="1905" r="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CEA0" id="Rectangle 2" o:spid="_x0000_s1026" style="position:absolute;margin-left:551.35pt;margin-top:69.7pt;width:2.3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" fillcolor="black" stroked="f">
                <w10:wrap anchorx="page"/>
              </v:rect>
            </w:pict>
          </mc:Fallback>
        </mc:AlternateContent>
      </w:r>
      <w:r w:rsidR="001D5997" w:rsidRPr="006C70AF">
        <w:rPr>
          <w:b/>
          <w:color w:val="17818E"/>
          <w:sz w:val="20"/>
        </w:rPr>
        <w:t>Badminton Bac pro (Référentiel rénové 2018)</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1595"/>
        <w:gridCol w:w="884"/>
        <w:gridCol w:w="2907"/>
        <w:gridCol w:w="3831"/>
        <w:gridCol w:w="423"/>
        <w:gridCol w:w="711"/>
        <w:gridCol w:w="1345"/>
        <w:gridCol w:w="924"/>
        <w:gridCol w:w="1982"/>
      </w:tblGrid>
      <w:tr w:rsidR="00911413">
        <w:trPr>
          <w:trHeight w:val="206"/>
        </w:trPr>
        <w:tc>
          <w:tcPr>
            <w:tcW w:w="2658" w:type="dxa"/>
            <w:gridSpan w:val="2"/>
          </w:tcPr>
          <w:bookmarkEnd w:id="0"/>
          <w:p w:rsidR="00911413" w:rsidRDefault="001D5997">
            <w:pPr>
              <w:pStyle w:val="TableParagraph"/>
              <w:spacing w:line="186" w:lineRule="exact"/>
              <w:ind w:left="335"/>
              <w:rPr>
                <w:sz w:val="18"/>
              </w:rPr>
            </w:pPr>
            <w:r>
              <w:rPr>
                <w:color w:val="17818E"/>
                <w:sz w:val="18"/>
              </w:rPr>
              <w:t>Compétences attendues</w:t>
            </w:r>
          </w:p>
        </w:tc>
        <w:tc>
          <w:tcPr>
            <w:tcW w:w="13007" w:type="dxa"/>
            <w:gridSpan w:val="8"/>
          </w:tcPr>
          <w:p w:rsidR="00911413" w:rsidRDefault="001D5997">
            <w:pPr>
              <w:pStyle w:val="TableParagraph"/>
              <w:spacing w:line="186" w:lineRule="exact"/>
              <w:ind w:left="5038" w:right="5067"/>
              <w:jc w:val="center"/>
              <w:rPr>
                <w:sz w:val="18"/>
              </w:rPr>
            </w:pPr>
            <w:r>
              <w:rPr>
                <w:color w:val="17818E"/>
                <w:sz w:val="18"/>
              </w:rPr>
              <w:t>Principes d’élaboration de l’épreuve</w:t>
            </w:r>
          </w:p>
        </w:tc>
      </w:tr>
      <w:tr w:rsidR="00911413" w:rsidRPr="006C70AF">
        <w:trPr>
          <w:trHeight w:val="2025"/>
        </w:trPr>
        <w:tc>
          <w:tcPr>
            <w:tcW w:w="2658" w:type="dxa"/>
            <w:gridSpan w:val="2"/>
          </w:tcPr>
          <w:p w:rsidR="00911413" w:rsidRPr="006C70AF" w:rsidRDefault="00911413">
            <w:pPr>
              <w:pStyle w:val="TableParagraph"/>
              <w:rPr>
                <w:b/>
                <w:sz w:val="18"/>
              </w:rPr>
            </w:pPr>
          </w:p>
          <w:p w:rsidR="00911413" w:rsidRPr="006C70AF" w:rsidRDefault="001D5997">
            <w:pPr>
              <w:pStyle w:val="TableParagraph"/>
              <w:spacing w:before="156"/>
              <w:ind w:left="69"/>
              <w:rPr>
                <w:b/>
                <w:sz w:val="16"/>
              </w:rPr>
            </w:pPr>
            <w:r w:rsidRPr="006C70AF">
              <w:rPr>
                <w:b/>
                <w:sz w:val="16"/>
              </w:rPr>
              <w:t>Niveau 4 :</w:t>
            </w:r>
          </w:p>
          <w:p w:rsidR="00911413" w:rsidRPr="006C70AF" w:rsidRDefault="001D5997">
            <w:pPr>
              <w:pStyle w:val="TableParagraph"/>
              <w:spacing w:before="3"/>
              <w:ind w:left="69" w:right="139"/>
              <w:rPr>
                <w:sz w:val="16"/>
              </w:rPr>
            </w:pPr>
            <w:r w:rsidRPr="006C70AF">
              <w:rPr>
                <w:sz w:val="16"/>
              </w:rPr>
              <w:t>Faire des choix tactiques pour gagner le point, en produisant des frappes variées en direction, longueur et hauteur afin de faire évoluer le rapport de force en sa faveur</w:t>
            </w:r>
          </w:p>
        </w:tc>
        <w:tc>
          <w:tcPr>
            <w:tcW w:w="13007" w:type="dxa"/>
            <w:gridSpan w:val="8"/>
          </w:tcPr>
          <w:p w:rsidR="00911413" w:rsidRPr="006C70AF" w:rsidRDefault="001D5997">
            <w:pPr>
              <w:pStyle w:val="TableParagraph"/>
              <w:spacing w:line="237" w:lineRule="auto"/>
              <w:ind w:left="32" w:right="66"/>
              <w:rPr>
                <w:sz w:val="16"/>
              </w:rPr>
            </w:pPr>
            <w:r w:rsidRPr="006C70AF">
              <w:rPr>
                <w:sz w:val="16"/>
              </w:rPr>
              <w:t xml:space="preserve">Les matchs se jouent en deux sets de 11 points. Les règles essentielles sont celles du badminton. Chaque candidat(e) dispute plusieurs matchs contre des adversaires de niveau proche dans des poules homogènes. Le positionnement du niveau de jeu du candidat </w:t>
            </w:r>
            <w:r w:rsidRPr="006C70AF">
              <w:rPr>
                <w:sz w:val="16"/>
              </w:rPr>
              <w:t>(</w:t>
            </w:r>
            <w:r w:rsidRPr="006C70AF">
              <w:rPr>
                <w:b/>
                <w:sz w:val="16"/>
              </w:rPr>
              <w:t xml:space="preserve">item 1 : </w:t>
            </w:r>
            <w:r w:rsidRPr="006C70AF">
              <w:rPr>
                <w:sz w:val="16"/>
              </w:rPr>
              <w:t xml:space="preserve">Qualité des techniques au service de la tactique) </w:t>
            </w:r>
            <w:r w:rsidRPr="006C70AF">
              <w:rPr>
                <w:b/>
                <w:sz w:val="16"/>
              </w:rPr>
              <w:t>est la 1</w:t>
            </w:r>
            <w:r w:rsidRPr="006C70AF">
              <w:rPr>
                <w:b/>
                <w:sz w:val="16"/>
                <w:vertAlign w:val="superscript"/>
              </w:rPr>
              <w:t>re</w:t>
            </w:r>
            <w:r w:rsidRPr="006C70AF">
              <w:rPr>
                <w:b/>
                <w:sz w:val="16"/>
              </w:rPr>
              <w:t xml:space="preserve"> étape de l’évaluation</w:t>
            </w:r>
            <w:r w:rsidRPr="006C70AF">
              <w:rPr>
                <w:sz w:val="16"/>
              </w:rPr>
              <w:t xml:space="preserve">, déterminante pour la suite et l’attribution des points. « La pertinence et l’efficacité des choix stratégiques dans la gestion du rapport de force » </w:t>
            </w:r>
            <w:r w:rsidRPr="006C70AF">
              <w:rPr>
                <w:b/>
                <w:sz w:val="16"/>
              </w:rPr>
              <w:t xml:space="preserve">(item 2) </w:t>
            </w:r>
            <w:r w:rsidRPr="006C70AF">
              <w:rPr>
                <w:sz w:val="16"/>
              </w:rPr>
              <w:t>sera</w:t>
            </w:r>
            <w:r w:rsidRPr="006C70AF">
              <w:rPr>
                <w:sz w:val="16"/>
              </w:rPr>
              <w:t xml:space="preserve"> appréciée au regard de l’évolution du score entre les 2 sets de chaque match (1) avec une échelle de points déterminée par le niveau de jeu du candidat(e) (ou de la poule), les points étant répartis selon les 6 cas de figure répertoriés. « Le gain des mat</w:t>
            </w:r>
            <w:r w:rsidRPr="006C70AF">
              <w:rPr>
                <w:sz w:val="16"/>
              </w:rPr>
              <w:t xml:space="preserve">chs » </w:t>
            </w:r>
            <w:r w:rsidRPr="006C70AF">
              <w:rPr>
                <w:b/>
                <w:sz w:val="16"/>
              </w:rPr>
              <w:t xml:space="preserve">(item 3) </w:t>
            </w:r>
            <w:r w:rsidRPr="006C70AF">
              <w:rPr>
                <w:sz w:val="16"/>
              </w:rPr>
              <w:t>sera apprécié à l’issue de l’ensemble des matchs.</w:t>
            </w:r>
          </w:p>
          <w:p w:rsidR="00911413" w:rsidRPr="006C70AF" w:rsidRDefault="001D5997">
            <w:pPr>
              <w:pStyle w:val="TableParagraph"/>
              <w:numPr>
                <w:ilvl w:val="0"/>
                <w:numId w:val="1"/>
              </w:numPr>
              <w:tabs>
                <w:tab w:val="left" w:pos="273"/>
              </w:tabs>
              <w:spacing w:before="3"/>
              <w:ind w:right="295" w:firstLine="0"/>
              <w:rPr>
                <w:sz w:val="16"/>
              </w:rPr>
            </w:pPr>
            <w:r w:rsidRPr="006C70AF">
              <w:rPr>
                <w:sz w:val="16"/>
              </w:rPr>
              <w:t>A propos du principe d’équilibre du rapport de force : Pour que les compétences attendues soient révélées, les candidats qui se rencontrent doivent être de niveau homogène (rapport de force é</w:t>
            </w:r>
            <w:r w:rsidRPr="006C70AF">
              <w:rPr>
                <w:sz w:val="16"/>
              </w:rPr>
              <w:t>quilibré). Ainsi, filles et garçons peuvent être évalués au sein d’une même poule. Il faut cependant veiller à ce que le niveau des candidates filles soit apprécié et évalué en fonction de celui des autres filles (idem pour les candidats</w:t>
            </w:r>
            <w:r w:rsidRPr="006C70AF">
              <w:rPr>
                <w:spacing w:val="-7"/>
                <w:sz w:val="16"/>
              </w:rPr>
              <w:t xml:space="preserve"> </w:t>
            </w:r>
            <w:r w:rsidRPr="006C70AF">
              <w:rPr>
                <w:sz w:val="16"/>
              </w:rPr>
              <w:t>garçons).</w:t>
            </w:r>
          </w:p>
          <w:p w:rsidR="00911413" w:rsidRPr="006C70AF" w:rsidRDefault="001D5997">
            <w:pPr>
              <w:pStyle w:val="TableParagraph"/>
              <w:numPr>
                <w:ilvl w:val="0"/>
                <w:numId w:val="1"/>
              </w:numPr>
              <w:tabs>
                <w:tab w:val="left" w:pos="273"/>
              </w:tabs>
              <w:spacing w:line="183" w:lineRule="exact"/>
              <w:ind w:firstLine="0"/>
              <w:rPr>
                <w:sz w:val="16"/>
              </w:rPr>
            </w:pPr>
            <w:r w:rsidRPr="006C70AF">
              <w:rPr>
                <w:sz w:val="16"/>
              </w:rPr>
              <w:t>Veiller</w:t>
            </w:r>
            <w:r w:rsidRPr="006C70AF">
              <w:rPr>
                <w:spacing w:val="-3"/>
                <w:sz w:val="16"/>
              </w:rPr>
              <w:t xml:space="preserve"> </w:t>
            </w:r>
            <w:r w:rsidRPr="006C70AF">
              <w:rPr>
                <w:sz w:val="16"/>
              </w:rPr>
              <w:t>à</w:t>
            </w:r>
            <w:r w:rsidRPr="006C70AF">
              <w:rPr>
                <w:spacing w:val="-4"/>
                <w:sz w:val="16"/>
              </w:rPr>
              <w:t xml:space="preserve"> </w:t>
            </w:r>
            <w:r w:rsidRPr="006C70AF">
              <w:rPr>
                <w:b/>
                <w:sz w:val="16"/>
              </w:rPr>
              <w:t>valoriser</w:t>
            </w:r>
            <w:r w:rsidRPr="006C70AF">
              <w:rPr>
                <w:b/>
                <w:spacing w:val="-2"/>
                <w:sz w:val="16"/>
              </w:rPr>
              <w:t xml:space="preserve"> </w:t>
            </w:r>
            <w:r w:rsidRPr="006C70AF">
              <w:rPr>
                <w:b/>
                <w:sz w:val="16"/>
              </w:rPr>
              <w:t>de</w:t>
            </w:r>
            <w:r w:rsidRPr="006C70AF">
              <w:rPr>
                <w:b/>
                <w:spacing w:val="-4"/>
                <w:sz w:val="16"/>
              </w:rPr>
              <w:t xml:space="preserve"> </w:t>
            </w:r>
            <w:r w:rsidRPr="006C70AF">
              <w:rPr>
                <w:b/>
                <w:sz w:val="16"/>
              </w:rPr>
              <w:t>manière</w:t>
            </w:r>
            <w:r w:rsidRPr="006C70AF">
              <w:rPr>
                <w:b/>
                <w:spacing w:val="-5"/>
                <w:sz w:val="16"/>
              </w:rPr>
              <w:t xml:space="preserve"> </w:t>
            </w:r>
            <w:r w:rsidRPr="006C70AF">
              <w:rPr>
                <w:b/>
                <w:sz w:val="16"/>
              </w:rPr>
              <w:t xml:space="preserve">équitable </w:t>
            </w:r>
            <w:r w:rsidRPr="006C70AF">
              <w:rPr>
                <w:sz w:val="16"/>
              </w:rPr>
              <w:t>des registres ou</w:t>
            </w:r>
            <w:r w:rsidRPr="006C70AF">
              <w:rPr>
                <w:spacing w:val="-2"/>
                <w:sz w:val="16"/>
              </w:rPr>
              <w:t xml:space="preserve"> </w:t>
            </w:r>
            <w:r w:rsidRPr="006C70AF">
              <w:rPr>
                <w:sz w:val="16"/>
              </w:rPr>
              <w:t>des</w:t>
            </w:r>
            <w:r w:rsidRPr="006C70AF">
              <w:rPr>
                <w:spacing w:val="-1"/>
                <w:sz w:val="16"/>
              </w:rPr>
              <w:t xml:space="preserve"> </w:t>
            </w:r>
            <w:r w:rsidRPr="006C70AF">
              <w:rPr>
                <w:sz w:val="16"/>
              </w:rPr>
              <w:t>styles</w:t>
            </w:r>
            <w:r w:rsidRPr="006C70AF">
              <w:rPr>
                <w:spacing w:val="-1"/>
                <w:sz w:val="16"/>
              </w:rPr>
              <w:t xml:space="preserve"> </w:t>
            </w:r>
            <w:r w:rsidRPr="006C70AF">
              <w:rPr>
                <w:sz w:val="16"/>
              </w:rPr>
              <w:t>de</w:t>
            </w:r>
            <w:r w:rsidRPr="006C70AF">
              <w:rPr>
                <w:spacing w:val="-2"/>
                <w:sz w:val="16"/>
              </w:rPr>
              <w:t xml:space="preserve"> </w:t>
            </w:r>
            <w:r w:rsidRPr="006C70AF">
              <w:rPr>
                <w:sz w:val="16"/>
              </w:rPr>
              <w:t>jeu</w:t>
            </w:r>
            <w:r w:rsidRPr="006C70AF">
              <w:rPr>
                <w:spacing w:val="-5"/>
                <w:sz w:val="16"/>
              </w:rPr>
              <w:t xml:space="preserve"> </w:t>
            </w:r>
            <w:r w:rsidRPr="006C70AF">
              <w:rPr>
                <w:sz w:val="16"/>
              </w:rPr>
              <w:t>qui</w:t>
            </w:r>
            <w:r w:rsidRPr="006C70AF">
              <w:rPr>
                <w:spacing w:val="-1"/>
                <w:sz w:val="16"/>
              </w:rPr>
              <w:t xml:space="preserve"> </w:t>
            </w:r>
            <w:r w:rsidRPr="006C70AF">
              <w:rPr>
                <w:sz w:val="16"/>
              </w:rPr>
              <w:t>peuvent</w:t>
            </w:r>
            <w:r w:rsidRPr="006C70AF">
              <w:rPr>
                <w:spacing w:val="-1"/>
                <w:sz w:val="16"/>
              </w:rPr>
              <w:t xml:space="preserve"> </w:t>
            </w:r>
            <w:r w:rsidRPr="006C70AF">
              <w:rPr>
                <w:sz w:val="16"/>
              </w:rPr>
              <w:t>être</w:t>
            </w:r>
            <w:r w:rsidRPr="006C70AF">
              <w:rPr>
                <w:spacing w:val="-2"/>
                <w:sz w:val="16"/>
              </w:rPr>
              <w:t xml:space="preserve"> </w:t>
            </w:r>
            <w:r w:rsidRPr="006C70AF">
              <w:rPr>
                <w:sz w:val="16"/>
              </w:rPr>
              <w:t>différents</w:t>
            </w:r>
            <w:r w:rsidRPr="006C70AF">
              <w:rPr>
                <w:spacing w:val="-3"/>
                <w:sz w:val="16"/>
              </w:rPr>
              <w:t xml:space="preserve"> </w:t>
            </w:r>
            <w:r w:rsidRPr="006C70AF">
              <w:rPr>
                <w:sz w:val="16"/>
              </w:rPr>
              <w:t>(vitesse</w:t>
            </w:r>
            <w:r w:rsidRPr="006C70AF">
              <w:rPr>
                <w:spacing w:val="-2"/>
                <w:sz w:val="16"/>
              </w:rPr>
              <w:t xml:space="preserve"> </w:t>
            </w:r>
            <w:r w:rsidRPr="006C70AF">
              <w:rPr>
                <w:sz w:val="16"/>
              </w:rPr>
              <w:t>de</w:t>
            </w:r>
            <w:r w:rsidRPr="006C70AF">
              <w:rPr>
                <w:spacing w:val="-4"/>
                <w:sz w:val="16"/>
              </w:rPr>
              <w:t xml:space="preserve"> </w:t>
            </w:r>
            <w:r w:rsidRPr="006C70AF">
              <w:rPr>
                <w:sz w:val="16"/>
              </w:rPr>
              <w:t>frappes,</w:t>
            </w:r>
            <w:r w:rsidRPr="006C70AF">
              <w:rPr>
                <w:spacing w:val="-1"/>
                <w:sz w:val="16"/>
              </w:rPr>
              <w:t xml:space="preserve"> </w:t>
            </w:r>
            <w:r w:rsidRPr="006C70AF">
              <w:rPr>
                <w:sz w:val="16"/>
              </w:rPr>
              <w:t>exploitation</w:t>
            </w:r>
            <w:r w:rsidRPr="006C70AF">
              <w:rPr>
                <w:spacing w:val="-2"/>
                <w:sz w:val="16"/>
              </w:rPr>
              <w:t xml:space="preserve"> </w:t>
            </w:r>
            <w:r w:rsidRPr="006C70AF">
              <w:rPr>
                <w:sz w:val="16"/>
              </w:rPr>
              <w:t>du</w:t>
            </w:r>
            <w:r w:rsidRPr="006C70AF">
              <w:rPr>
                <w:spacing w:val="-2"/>
                <w:sz w:val="16"/>
              </w:rPr>
              <w:t xml:space="preserve"> </w:t>
            </w:r>
            <w:r w:rsidRPr="006C70AF">
              <w:rPr>
                <w:sz w:val="16"/>
              </w:rPr>
              <w:t>volume</w:t>
            </w:r>
            <w:r w:rsidRPr="006C70AF">
              <w:rPr>
                <w:spacing w:val="-2"/>
                <w:sz w:val="16"/>
              </w:rPr>
              <w:t xml:space="preserve"> </w:t>
            </w:r>
            <w:r w:rsidRPr="006C70AF">
              <w:rPr>
                <w:sz w:val="16"/>
              </w:rPr>
              <w:t>et</w:t>
            </w:r>
            <w:r w:rsidRPr="006C70AF">
              <w:rPr>
                <w:spacing w:val="-1"/>
                <w:sz w:val="16"/>
              </w:rPr>
              <w:t xml:space="preserve"> </w:t>
            </w:r>
            <w:r w:rsidRPr="006C70AF">
              <w:rPr>
                <w:sz w:val="16"/>
              </w:rPr>
              <w:t>des espaces)</w:t>
            </w:r>
          </w:p>
          <w:p w:rsidR="00911413" w:rsidRPr="006C70AF" w:rsidRDefault="001D5997">
            <w:pPr>
              <w:pStyle w:val="TableParagraph"/>
              <w:spacing w:before="7" w:line="182" w:lineRule="exact"/>
              <w:ind w:left="32" w:right="288"/>
              <w:rPr>
                <w:sz w:val="16"/>
              </w:rPr>
            </w:pPr>
            <w:r w:rsidRPr="006C70AF">
              <w:rPr>
                <w:sz w:val="16"/>
              </w:rPr>
              <w:t>Les évaluateurs ont la responsabilité de tenir compte de ces différences dans les appréciations qualitatives et le passage à la note. Les appréciations et notes sont attribuées sans comparer les prestations des filles avec celles des garçons.</w:t>
            </w:r>
          </w:p>
        </w:tc>
      </w:tr>
      <w:tr w:rsidR="00911413" w:rsidRPr="006C70AF">
        <w:trPr>
          <w:trHeight w:val="366"/>
        </w:trPr>
        <w:tc>
          <w:tcPr>
            <w:tcW w:w="1063" w:type="dxa"/>
          </w:tcPr>
          <w:p w:rsidR="00911413" w:rsidRDefault="001D5997">
            <w:pPr>
              <w:pStyle w:val="TableParagraph"/>
              <w:spacing w:line="178" w:lineRule="exact"/>
              <w:ind w:left="218"/>
              <w:rPr>
                <w:b/>
                <w:sz w:val="16"/>
              </w:rPr>
            </w:pPr>
            <w:r>
              <w:rPr>
                <w:b/>
                <w:sz w:val="16"/>
              </w:rPr>
              <w:t>Points à</w:t>
            </w:r>
          </w:p>
          <w:p w:rsidR="00911413" w:rsidRDefault="001D5997">
            <w:pPr>
              <w:pStyle w:val="TableParagraph"/>
              <w:spacing w:before="1" w:line="168" w:lineRule="exact"/>
              <w:ind w:left="242"/>
              <w:rPr>
                <w:b/>
                <w:sz w:val="16"/>
              </w:rPr>
            </w:pPr>
            <w:r>
              <w:rPr>
                <w:b/>
                <w:sz w:val="16"/>
              </w:rPr>
              <w:t>affecter</w:t>
            </w:r>
          </w:p>
        </w:tc>
        <w:tc>
          <w:tcPr>
            <w:tcW w:w="1595" w:type="dxa"/>
          </w:tcPr>
          <w:p w:rsidR="00911413" w:rsidRDefault="001D5997">
            <w:pPr>
              <w:pStyle w:val="TableParagraph"/>
              <w:spacing w:line="178" w:lineRule="exact"/>
              <w:ind w:left="338" w:right="362"/>
              <w:jc w:val="center"/>
              <w:rPr>
                <w:b/>
                <w:sz w:val="16"/>
              </w:rPr>
            </w:pPr>
            <w:r>
              <w:rPr>
                <w:b/>
                <w:sz w:val="16"/>
              </w:rPr>
              <w:t>Éléments à</w:t>
            </w:r>
          </w:p>
          <w:p w:rsidR="00911413" w:rsidRDefault="001D5997">
            <w:pPr>
              <w:pStyle w:val="TableParagraph"/>
              <w:spacing w:before="1" w:line="168" w:lineRule="exact"/>
              <w:ind w:left="336" w:right="362"/>
              <w:jc w:val="center"/>
              <w:rPr>
                <w:b/>
                <w:sz w:val="16"/>
              </w:rPr>
            </w:pPr>
            <w:r>
              <w:rPr>
                <w:b/>
                <w:sz w:val="16"/>
              </w:rPr>
              <w:t>évaluer</w:t>
            </w:r>
          </w:p>
        </w:tc>
        <w:tc>
          <w:tcPr>
            <w:tcW w:w="3791" w:type="dxa"/>
            <w:gridSpan w:val="2"/>
          </w:tcPr>
          <w:p w:rsidR="00911413" w:rsidRDefault="001D5997">
            <w:pPr>
              <w:pStyle w:val="TableParagraph"/>
              <w:spacing w:before="85"/>
              <w:ind w:left="1100"/>
              <w:rPr>
                <w:b/>
                <w:sz w:val="16"/>
              </w:rPr>
            </w:pPr>
            <w:r>
              <w:rPr>
                <w:b/>
                <w:sz w:val="16"/>
              </w:rPr>
              <w:t>Niveau 4 non acquis</w:t>
            </w:r>
          </w:p>
        </w:tc>
        <w:tc>
          <w:tcPr>
            <w:tcW w:w="9216" w:type="dxa"/>
            <w:gridSpan w:val="6"/>
          </w:tcPr>
          <w:p w:rsidR="00911413" w:rsidRPr="006C70AF" w:rsidRDefault="001D5997">
            <w:pPr>
              <w:pStyle w:val="TableParagraph"/>
              <w:spacing w:line="178" w:lineRule="exact"/>
              <w:ind w:left="3383" w:right="3373"/>
              <w:jc w:val="center"/>
              <w:rPr>
                <w:b/>
                <w:sz w:val="16"/>
              </w:rPr>
            </w:pPr>
            <w:r w:rsidRPr="006C70AF">
              <w:rPr>
                <w:b/>
                <w:sz w:val="16"/>
              </w:rPr>
              <w:t>Degré d’acquisition du niveau 4</w:t>
            </w:r>
          </w:p>
          <w:p w:rsidR="00911413" w:rsidRPr="006C70AF" w:rsidRDefault="001D5997">
            <w:pPr>
              <w:pStyle w:val="TableParagraph"/>
              <w:spacing w:before="3" w:line="166" w:lineRule="exact"/>
              <w:ind w:left="3383" w:right="3373"/>
              <w:jc w:val="center"/>
              <w:rPr>
                <w:sz w:val="16"/>
              </w:rPr>
            </w:pPr>
            <w:r w:rsidRPr="006C70AF">
              <w:rPr>
                <w:sz w:val="16"/>
              </w:rPr>
              <w:t>de 10 à 20 pts</w:t>
            </w:r>
          </w:p>
        </w:tc>
      </w:tr>
      <w:tr w:rsidR="00911413">
        <w:trPr>
          <w:trHeight w:val="3681"/>
        </w:trPr>
        <w:tc>
          <w:tcPr>
            <w:tcW w:w="1063" w:type="dxa"/>
          </w:tcPr>
          <w:p w:rsidR="00911413" w:rsidRPr="006C70AF" w:rsidRDefault="00911413">
            <w:pPr>
              <w:pStyle w:val="TableParagraph"/>
              <w:rPr>
                <w:b/>
                <w:sz w:val="18"/>
              </w:rPr>
            </w:pPr>
          </w:p>
          <w:p w:rsidR="00911413" w:rsidRPr="006C70AF" w:rsidRDefault="00911413">
            <w:pPr>
              <w:pStyle w:val="TableParagraph"/>
              <w:rPr>
                <w:b/>
                <w:sz w:val="18"/>
              </w:rPr>
            </w:pPr>
          </w:p>
          <w:p w:rsidR="00911413" w:rsidRPr="006C70AF" w:rsidRDefault="00911413">
            <w:pPr>
              <w:pStyle w:val="TableParagraph"/>
              <w:rPr>
                <w:b/>
                <w:sz w:val="18"/>
              </w:rPr>
            </w:pPr>
          </w:p>
          <w:p w:rsidR="00911413" w:rsidRPr="006C70AF" w:rsidRDefault="00911413">
            <w:pPr>
              <w:pStyle w:val="TableParagraph"/>
              <w:rPr>
                <w:b/>
                <w:sz w:val="18"/>
              </w:rPr>
            </w:pPr>
          </w:p>
          <w:p w:rsidR="00911413" w:rsidRPr="006C70AF" w:rsidRDefault="00911413">
            <w:pPr>
              <w:pStyle w:val="TableParagraph"/>
              <w:rPr>
                <w:b/>
                <w:sz w:val="18"/>
              </w:rPr>
            </w:pPr>
          </w:p>
          <w:p w:rsidR="00911413" w:rsidRPr="006C70AF" w:rsidRDefault="00911413">
            <w:pPr>
              <w:pStyle w:val="TableParagraph"/>
              <w:rPr>
                <w:b/>
                <w:sz w:val="18"/>
              </w:rPr>
            </w:pPr>
          </w:p>
          <w:p w:rsidR="00911413" w:rsidRPr="006C70AF" w:rsidRDefault="00911413">
            <w:pPr>
              <w:pStyle w:val="TableParagraph"/>
              <w:rPr>
                <w:b/>
                <w:sz w:val="18"/>
              </w:rPr>
            </w:pPr>
          </w:p>
          <w:p w:rsidR="00911413" w:rsidRPr="006C70AF" w:rsidRDefault="00911413">
            <w:pPr>
              <w:pStyle w:val="TableParagraph"/>
              <w:spacing w:before="7"/>
              <w:rPr>
                <w:b/>
                <w:sz w:val="25"/>
              </w:rPr>
            </w:pPr>
          </w:p>
          <w:p w:rsidR="00911413" w:rsidRDefault="001D5997">
            <w:pPr>
              <w:pStyle w:val="TableParagraph"/>
              <w:ind w:left="179"/>
              <w:rPr>
                <w:b/>
                <w:sz w:val="16"/>
              </w:rPr>
            </w:pPr>
            <w:r>
              <w:rPr>
                <w:b/>
                <w:sz w:val="16"/>
              </w:rPr>
              <w:t>10 points</w:t>
            </w:r>
          </w:p>
        </w:tc>
        <w:tc>
          <w:tcPr>
            <w:tcW w:w="1595" w:type="dxa"/>
          </w:tcPr>
          <w:p w:rsidR="00911413" w:rsidRPr="006C70AF" w:rsidRDefault="001D5997">
            <w:pPr>
              <w:pStyle w:val="TableParagraph"/>
              <w:spacing w:before="87"/>
              <w:ind w:left="124" w:right="148" w:hanging="1"/>
              <w:jc w:val="center"/>
              <w:rPr>
                <w:b/>
                <w:sz w:val="16"/>
              </w:rPr>
            </w:pPr>
            <w:r w:rsidRPr="006C70AF">
              <w:rPr>
                <w:b/>
                <w:sz w:val="16"/>
              </w:rPr>
              <w:t>Tactique : projet de gain de match</w:t>
            </w:r>
          </w:p>
          <w:p w:rsidR="00911413" w:rsidRPr="006C70AF" w:rsidRDefault="00911413">
            <w:pPr>
              <w:pStyle w:val="TableParagraph"/>
              <w:rPr>
                <w:b/>
                <w:sz w:val="18"/>
              </w:rPr>
            </w:pPr>
          </w:p>
          <w:p w:rsidR="00911413" w:rsidRPr="006C70AF" w:rsidRDefault="001D5997">
            <w:pPr>
              <w:pStyle w:val="TableParagraph"/>
              <w:spacing w:before="160"/>
              <w:ind w:left="240" w:right="265" w:hanging="2"/>
              <w:jc w:val="center"/>
              <w:rPr>
                <w:b/>
                <w:sz w:val="16"/>
              </w:rPr>
            </w:pPr>
            <w:r w:rsidRPr="006C70AF">
              <w:rPr>
                <w:b/>
                <w:sz w:val="16"/>
              </w:rPr>
              <w:t>Qualité des techniques au service de la tactique</w:t>
            </w:r>
          </w:p>
          <w:p w:rsidR="00911413" w:rsidRPr="006C70AF" w:rsidRDefault="00911413">
            <w:pPr>
              <w:pStyle w:val="TableParagraph"/>
              <w:spacing w:before="10"/>
              <w:rPr>
                <w:b/>
                <w:sz w:val="15"/>
              </w:rPr>
            </w:pPr>
          </w:p>
          <w:p w:rsidR="00911413" w:rsidRPr="006C70AF" w:rsidRDefault="001D5997">
            <w:pPr>
              <w:pStyle w:val="TableParagraph"/>
              <w:ind w:left="220" w:right="250" w:firstLine="7"/>
              <w:jc w:val="center"/>
              <w:rPr>
                <w:b/>
                <w:sz w:val="16"/>
              </w:rPr>
            </w:pPr>
            <w:r w:rsidRPr="006C70AF">
              <w:rPr>
                <w:b/>
                <w:sz w:val="16"/>
              </w:rPr>
              <w:t>Rapidité et équilibre des déplacements, placements et replacements</w:t>
            </w:r>
          </w:p>
          <w:p w:rsidR="00911413" w:rsidRPr="006C70AF" w:rsidRDefault="00911413">
            <w:pPr>
              <w:pStyle w:val="TableParagraph"/>
              <w:spacing w:before="1"/>
              <w:rPr>
                <w:b/>
                <w:sz w:val="16"/>
              </w:rPr>
            </w:pPr>
          </w:p>
          <w:p w:rsidR="00911413" w:rsidRPr="006C70AF" w:rsidRDefault="001D5997">
            <w:pPr>
              <w:pStyle w:val="TableParagraph"/>
              <w:ind w:left="71" w:right="94" w:hanging="3"/>
              <w:jc w:val="center"/>
              <w:rPr>
                <w:b/>
                <w:sz w:val="16"/>
              </w:rPr>
            </w:pPr>
            <w:r w:rsidRPr="006C70AF">
              <w:rPr>
                <w:b/>
                <w:sz w:val="16"/>
              </w:rPr>
              <w:t>Variété, qualité et efficacité des actions de frappes</w:t>
            </w:r>
          </w:p>
        </w:tc>
        <w:tc>
          <w:tcPr>
            <w:tcW w:w="3791" w:type="dxa"/>
            <w:gridSpan w:val="2"/>
            <w:tcBorders>
              <w:bottom w:val="single" w:sz="8" w:space="0" w:color="000000"/>
            </w:tcBorders>
          </w:tcPr>
          <w:p w:rsidR="00911413" w:rsidRPr="006C70AF" w:rsidRDefault="001D5997">
            <w:pPr>
              <w:pStyle w:val="TableParagraph"/>
              <w:spacing w:line="180" w:lineRule="exact"/>
              <w:ind w:left="1301" w:right="1328"/>
              <w:jc w:val="center"/>
              <w:rPr>
                <w:b/>
                <w:sz w:val="16"/>
              </w:rPr>
            </w:pPr>
            <w:r w:rsidRPr="006C70AF">
              <w:rPr>
                <w:b/>
                <w:sz w:val="16"/>
              </w:rPr>
              <w:t>De 0 à 4,75 pts</w:t>
            </w:r>
          </w:p>
          <w:p w:rsidR="00911413" w:rsidRPr="006C70AF" w:rsidRDefault="001D5997">
            <w:pPr>
              <w:pStyle w:val="TableParagraph"/>
              <w:spacing w:before="1"/>
              <w:ind w:left="90" w:right="118"/>
              <w:jc w:val="both"/>
              <w:rPr>
                <w:b/>
                <w:sz w:val="16"/>
              </w:rPr>
            </w:pPr>
            <w:r w:rsidRPr="006C70AF">
              <w:rPr>
                <w:sz w:val="16"/>
              </w:rPr>
              <w:t>Construit et marque grâce à des renvois variés dans l’</w:t>
            </w:r>
            <w:r w:rsidRPr="006C70AF">
              <w:rPr>
                <w:b/>
                <w:sz w:val="16"/>
              </w:rPr>
              <w:t>axe central essentiellement.</w:t>
            </w:r>
          </w:p>
          <w:p w:rsidR="00911413" w:rsidRPr="006C70AF" w:rsidRDefault="001D5997">
            <w:pPr>
              <w:pStyle w:val="TableParagraph"/>
              <w:spacing w:before="3"/>
              <w:ind w:left="90" w:right="118"/>
              <w:jc w:val="both"/>
              <w:rPr>
                <w:sz w:val="16"/>
              </w:rPr>
            </w:pPr>
            <w:r w:rsidRPr="006C70AF">
              <w:rPr>
                <w:sz w:val="16"/>
              </w:rPr>
              <w:t>Produit des frappes de rupture (des</w:t>
            </w:r>
            <w:r w:rsidRPr="006C70AF">
              <w:rPr>
                <w:sz w:val="16"/>
              </w:rPr>
              <w:t>cendantes ou éloignées de l’adversaire sur la profondeur ou la largeur) sur un volant haut en zone avant.</w:t>
            </w:r>
          </w:p>
          <w:p w:rsidR="00911413" w:rsidRPr="006C70AF" w:rsidRDefault="001D5997">
            <w:pPr>
              <w:pStyle w:val="TableParagraph"/>
              <w:ind w:left="90" w:right="111"/>
              <w:jc w:val="both"/>
              <w:rPr>
                <w:sz w:val="16"/>
              </w:rPr>
            </w:pPr>
            <w:r w:rsidRPr="006C70AF">
              <w:rPr>
                <w:b/>
                <w:sz w:val="16"/>
              </w:rPr>
              <w:t xml:space="preserve">Déplacements limités et/ou désorganisés </w:t>
            </w:r>
            <w:r w:rsidRPr="006C70AF">
              <w:rPr>
                <w:sz w:val="16"/>
              </w:rPr>
              <w:t>qui perturbent les actions de frappe. Les actions de déplacement – frappe- replacement sont juxtaposées. Le replacement est souvent en retard ou parfois</w:t>
            </w:r>
            <w:r w:rsidRPr="006C70AF">
              <w:rPr>
                <w:sz w:val="16"/>
              </w:rPr>
              <w:t xml:space="preserve"> </w:t>
            </w:r>
            <w:r w:rsidRPr="006C70AF">
              <w:rPr>
                <w:sz w:val="16"/>
              </w:rPr>
              <w:t>absent.</w:t>
            </w:r>
          </w:p>
          <w:p w:rsidR="00911413" w:rsidRPr="006C70AF" w:rsidRDefault="001D5997">
            <w:pPr>
              <w:pStyle w:val="TableParagraph"/>
              <w:ind w:left="90" w:right="115"/>
              <w:jc w:val="both"/>
              <w:rPr>
                <w:sz w:val="16"/>
              </w:rPr>
            </w:pPr>
            <w:r w:rsidRPr="006C70AF">
              <w:rPr>
                <w:sz w:val="16"/>
              </w:rPr>
              <w:t xml:space="preserve">Le candidat </w:t>
            </w:r>
            <w:r w:rsidRPr="006C70AF">
              <w:rPr>
                <w:b/>
                <w:sz w:val="16"/>
              </w:rPr>
              <w:t xml:space="preserve">joue de face </w:t>
            </w:r>
            <w:r w:rsidRPr="006C70AF">
              <w:rPr>
                <w:sz w:val="16"/>
              </w:rPr>
              <w:t>le plus souvent (en frappe haute), il joue rarement bien placé (en fente au filet et avec une préparation de profil en frappe</w:t>
            </w:r>
            <w:r w:rsidRPr="006C70AF">
              <w:rPr>
                <w:spacing w:val="-1"/>
                <w:sz w:val="16"/>
              </w:rPr>
              <w:t xml:space="preserve"> </w:t>
            </w:r>
            <w:r w:rsidRPr="006C70AF">
              <w:rPr>
                <w:sz w:val="16"/>
              </w:rPr>
              <w:t>haute).</w:t>
            </w:r>
          </w:p>
          <w:p w:rsidR="00911413" w:rsidRPr="006C70AF" w:rsidRDefault="001D5997">
            <w:pPr>
              <w:pStyle w:val="TableParagraph"/>
              <w:spacing w:line="182" w:lineRule="exact"/>
              <w:ind w:left="90"/>
              <w:jc w:val="both"/>
              <w:rPr>
                <w:sz w:val="16"/>
              </w:rPr>
            </w:pPr>
            <w:r w:rsidRPr="006C70AF">
              <w:rPr>
                <w:sz w:val="16"/>
              </w:rPr>
              <w:t>La prise de raquette est inadaptée</w:t>
            </w:r>
          </w:p>
          <w:p w:rsidR="00911413" w:rsidRDefault="001D5997">
            <w:pPr>
              <w:pStyle w:val="TableParagraph"/>
              <w:spacing w:line="183" w:lineRule="exact"/>
              <w:ind w:left="1301" w:right="1325"/>
              <w:jc w:val="center"/>
              <w:rPr>
                <w:b/>
                <w:sz w:val="16"/>
              </w:rPr>
            </w:pPr>
            <w:r>
              <w:rPr>
                <w:b/>
                <w:sz w:val="16"/>
              </w:rPr>
              <w:t>Niveau A</w:t>
            </w:r>
          </w:p>
        </w:tc>
        <w:tc>
          <w:tcPr>
            <w:tcW w:w="4254" w:type="dxa"/>
            <w:gridSpan w:val="2"/>
            <w:tcBorders>
              <w:bottom w:val="single" w:sz="8" w:space="0" w:color="000000"/>
            </w:tcBorders>
          </w:tcPr>
          <w:p w:rsidR="00911413" w:rsidRPr="006C70AF" w:rsidRDefault="001D5997">
            <w:pPr>
              <w:pStyle w:val="TableParagraph"/>
              <w:spacing w:line="179" w:lineRule="exact"/>
              <w:ind w:left="1431" w:right="1421"/>
              <w:jc w:val="center"/>
              <w:rPr>
                <w:b/>
                <w:sz w:val="16"/>
              </w:rPr>
            </w:pPr>
            <w:r w:rsidRPr="006C70AF">
              <w:rPr>
                <w:b/>
                <w:sz w:val="16"/>
              </w:rPr>
              <w:t>De 5 à 7,75 points</w:t>
            </w:r>
          </w:p>
          <w:p w:rsidR="00911413" w:rsidRPr="006C70AF" w:rsidRDefault="001D5997">
            <w:pPr>
              <w:pStyle w:val="TableParagraph"/>
              <w:ind w:left="127" w:right="110"/>
              <w:jc w:val="both"/>
              <w:rPr>
                <w:sz w:val="16"/>
              </w:rPr>
            </w:pPr>
            <w:r w:rsidRPr="006C70AF">
              <w:rPr>
                <w:b/>
                <w:spacing w:val="-5"/>
                <w:sz w:val="16"/>
              </w:rPr>
              <w:t xml:space="preserve">Tant </w:t>
            </w:r>
            <w:r w:rsidRPr="006C70AF">
              <w:rPr>
                <w:b/>
                <w:spacing w:val="-4"/>
                <w:sz w:val="16"/>
              </w:rPr>
              <w:t xml:space="preserve">qu’il n’est pas </w:t>
            </w:r>
            <w:r w:rsidRPr="006C70AF">
              <w:rPr>
                <w:b/>
                <w:spacing w:val="-5"/>
                <w:sz w:val="16"/>
              </w:rPr>
              <w:t xml:space="preserve">trop proche </w:t>
            </w:r>
            <w:r w:rsidRPr="006C70AF">
              <w:rPr>
                <w:b/>
                <w:sz w:val="16"/>
              </w:rPr>
              <w:t xml:space="preserve">du </w:t>
            </w:r>
            <w:r w:rsidRPr="006C70AF">
              <w:rPr>
                <w:b/>
                <w:spacing w:val="-4"/>
                <w:sz w:val="16"/>
              </w:rPr>
              <w:t xml:space="preserve">fond </w:t>
            </w:r>
            <w:r w:rsidRPr="006C70AF">
              <w:rPr>
                <w:b/>
                <w:spacing w:val="-3"/>
                <w:sz w:val="16"/>
              </w:rPr>
              <w:t xml:space="preserve">du </w:t>
            </w:r>
            <w:r w:rsidRPr="006C70AF">
              <w:rPr>
                <w:b/>
                <w:spacing w:val="-4"/>
                <w:sz w:val="16"/>
              </w:rPr>
              <w:t xml:space="preserve">court </w:t>
            </w:r>
            <w:r w:rsidRPr="006C70AF">
              <w:rPr>
                <w:b/>
                <w:spacing w:val="-5"/>
                <w:sz w:val="16"/>
              </w:rPr>
              <w:t xml:space="preserve">et/ou </w:t>
            </w:r>
            <w:r w:rsidRPr="006C70AF">
              <w:rPr>
                <w:b/>
                <w:spacing w:val="-3"/>
                <w:sz w:val="16"/>
              </w:rPr>
              <w:t xml:space="preserve">en </w:t>
            </w:r>
            <w:r w:rsidRPr="006C70AF">
              <w:rPr>
                <w:b/>
                <w:spacing w:val="-4"/>
                <w:sz w:val="16"/>
              </w:rPr>
              <w:t xml:space="preserve">crise </w:t>
            </w:r>
            <w:r w:rsidRPr="006C70AF">
              <w:rPr>
                <w:b/>
                <w:spacing w:val="-3"/>
                <w:sz w:val="16"/>
              </w:rPr>
              <w:t xml:space="preserve">de </w:t>
            </w:r>
            <w:r w:rsidRPr="006C70AF">
              <w:rPr>
                <w:b/>
                <w:spacing w:val="-4"/>
                <w:sz w:val="16"/>
              </w:rPr>
              <w:t xml:space="preserve">temps et/ou sur son revers haut, </w:t>
            </w:r>
            <w:r w:rsidRPr="006C70AF">
              <w:rPr>
                <w:spacing w:val="-5"/>
                <w:sz w:val="16"/>
              </w:rPr>
              <w:t xml:space="preserve">construit </w:t>
            </w:r>
            <w:r w:rsidRPr="006C70AF">
              <w:rPr>
                <w:spacing w:val="-3"/>
                <w:sz w:val="16"/>
              </w:rPr>
              <w:t xml:space="preserve">et </w:t>
            </w:r>
            <w:r w:rsidRPr="006C70AF">
              <w:rPr>
                <w:spacing w:val="-5"/>
                <w:sz w:val="16"/>
              </w:rPr>
              <w:t xml:space="preserve">marque </w:t>
            </w:r>
            <w:r w:rsidRPr="006C70AF">
              <w:rPr>
                <w:spacing w:val="-4"/>
                <w:sz w:val="16"/>
              </w:rPr>
              <w:t xml:space="preserve">avec des </w:t>
            </w:r>
            <w:r w:rsidRPr="006C70AF">
              <w:rPr>
                <w:b/>
                <w:spacing w:val="-5"/>
                <w:sz w:val="16"/>
              </w:rPr>
              <w:t xml:space="preserve">trajectoires variées </w:t>
            </w:r>
            <w:r w:rsidRPr="006C70AF">
              <w:rPr>
                <w:spacing w:val="-4"/>
                <w:sz w:val="16"/>
              </w:rPr>
              <w:t xml:space="preserve">dans </w:t>
            </w:r>
            <w:r w:rsidRPr="006C70AF">
              <w:rPr>
                <w:spacing w:val="-3"/>
                <w:sz w:val="16"/>
              </w:rPr>
              <w:t xml:space="preserve">la </w:t>
            </w:r>
            <w:r w:rsidRPr="006C70AF">
              <w:rPr>
                <w:spacing w:val="-5"/>
                <w:sz w:val="16"/>
              </w:rPr>
              <w:t xml:space="preserve">profondeur </w:t>
            </w:r>
            <w:r w:rsidRPr="006C70AF">
              <w:rPr>
                <w:spacing w:val="-3"/>
                <w:sz w:val="16"/>
              </w:rPr>
              <w:t xml:space="preserve">ou </w:t>
            </w:r>
            <w:r w:rsidRPr="006C70AF">
              <w:rPr>
                <w:sz w:val="16"/>
              </w:rPr>
              <w:t xml:space="preserve">la </w:t>
            </w:r>
            <w:r w:rsidRPr="006C70AF">
              <w:rPr>
                <w:spacing w:val="-5"/>
                <w:sz w:val="16"/>
              </w:rPr>
              <w:t xml:space="preserve">largeur </w:t>
            </w:r>
            <w:r w:rsidRPr="006C70AF">
              <w:rPr>
                <w:sz w:val="16"/>
              </w:rPr>
              <w:t xml:space="preserve">ou </w:t>
            </w:r>
            <w:r w:rsidRPr="006C70AF">
              <w:rPr>
                <w:spacing w:val="-4"/>
                <w:sz w:val="16"/>
              </w:rPr>
              <w:t xml:space="preserve">avec </w:t>
            </w:r>
            <w:r w:rsidRPr="006C70AF">
              <w:rPr>
                <w:sz w:val="16"/>
              </w:rPr>
              <w:t xml:space="preserve">un </w:t>
            </w:r>
            <w:r w:rsidRPr="006C70AF">
              <w:rPr>
                <w:spacing w:val="-4"/>
                <w:sz w:val="16"/>
              </w:rPr>
              <w:t xml:space="preserve">coup </w:t>
            </w:r>
            <w:r w:rsidRPr="006C70AF">
              <w:rPr>
                <w:spacing w:val="-5"/>
                <w:sz w:val="16"/>
              </w:rPr>
              <w:t>accéléré, déplace l’adversaire.</w:t>
            </w:r>
          </w:p>
          <w:p w:rsidR="00911413" w:rsidRPr="006C70AF" w:rsidRDefault="001D5997">
            <w:pPr>
              <w:pStyle w:val="TableParagraph"/>
              <w:spacing w:before="1" w:line="182" w:lineRule="exact"/>
              <w:ind w:left="127"/>
              <w:rPr>
                <w:sz w:val="16"/>
              </w:rPr>
            </w:pPr>
            <w:r w:rsidRPr="006C70AF">
              <w:rPr>
                <w:sz w:val="16"/>
              </w:rPr>
              <w:t>Utilise un coup prioritaire efficace.</w:t>
            </w:r>
          </w:p>
          <w:p w:rsidR="00911413" w:rsidRPr="006C70AF" w:rsidRDefault="001D5997">
            <w:pPr>
              <w:pStyle w:val="TableParagraph"/>
              <w:ind w:left="127" w:right="113"/>
              <w:jc w:val="both"/>
              <w:rPr>
                <w:b/>
                <w:sz w:val="16"/>
              </w:rPr>
            </w:pPr>
            <w:r w:rsidRPr="006C70AF">
              <w:rPr>
                <w:b/>
                <w:spacing w:val="-5"/>
                <w:sz w:val="16"/>
              </w:rPr>
              <w:t xml:space="preserve">Reconnaît </w:t>
            </w:r>
            <w:r w:rsidRPr="006C70AF">
              <w:rPr>
                <w:b/>
                <w:spacing w:val="-3"/>
                <w:sz w:val="16"/>
              </w:rPr>
              <w:t xml:space="preserve">et </w:t>
            </w:r>
            <w:r w:rsidRPr="006C70AF">
              <w:rPr>
                <w:b/>
                <w:spacing w:val="-5"/>
                <w:sz w:val="16"/>
              </w:rPr>
              <w:t xml:space="preserve">exploite </w:t>
            </w:r>
            <w:r w:rsidRPr="006C70AF">
              <w:rPr>
                <w:b/>
                <w:sz w:val="16"/>
              </w:rPr>
              <w:t xml:space="preserve">un </w:t>
            </w:r>
            <w:r w:rsidRPr="006C70AF">
              <w:rPr>
                <w:b/>
                <w:spacing w:val="-4"/>
                <w:sz w:val="16"/>
              </w:rPr>
              <w:t xml:space="preserve">volant </w:t>
            </w:r>
            <w:r w:rsidRPr="006C70AF">
              <w:rPr>
                <w:b/>
                <w:spacing w:val="-5"/>
                <w:sz w:val="16"/>
              </w:rPr>
              <w:t xml:space="preserve">favorable </w:t>
            </w:r>
            <w:r w:rsidRPr="006C70AF">
              <w:rPr>
                <w:b/>
                <w:spacing w:val="-4"/>
                <w:sz w:val="16"/>
              </w:rPr>
              <w:t>afi</w:t>
            </w:r>
            <w:r w:rsidRPr="006C70AF">
              <w:rPr>
                <w:b/>
                <w:spacing w:val="-4"/>
                <w:sz w:val="16"/>
              </w:rPr>
              <w:t xml:space="preserve">n </w:t>
            </w:r>
            <w:r w:rsidRPr="006C70AF">
              <w:rPr>
                <w:b/>
                <w:sz w:val="16"/>
              </w:rPr>
              <w:t xml:space="preserve">de </w:t>
            </w:r>
            <w:r w:rsidRPr="006C70AF">
              <w:rPr>
                <w:b/>
                <w:spacing w:val="-4"/>
                <w:sz w:val="16"/>
              </w:rPr>
              <w:t xml:space="preserve">créer </w:t>
            </w:r>
            <w:r w:rsidRPr="006C70AF">
              <w:rPr>
                <w:b/>
                <w:sz w:val="16"/>
              </w:rPr>
              <w:t xml:space="preserve">la </w:t>
            </w:r>
            <w:r w:rsidRPr="006C70AF">
              <w:rPr>
                <w:b/>
                <w:spacing w:val="-5"/>
                <w:sz w:val="16"/>
              </w:rPr>
              <w:t>rupture.</w:t>
            </w:r>
          </w:p>
          <w:p w:rsidR="00911413" w:rsidRPr="006C70AF" w:rsidRDefault="001D5997">
            <w:pPr>
              <w:pStyle w:val="TableParagraph"/>
              <w:spacing w:before="6"/>
              <w:ind w:left="127" w:right="115"/>
              <w:jc w:val="both"/>
              <w:rPr>
                <w:sz w:val="16"/>
              </w:rPr>
            </w:pPr>
            <w:r w:rsidRPr="006C70AF">
              <w:rPr>
                <w:spacing w:val="-5"/>
                <w:sz w:val="16"/>
              </w:rPr>
              <w:t xml:space="preserve">Déplacements </w:t>
            </w:r>
            <w:r w:rsidRPr="006C70AF">
              <w:rPr>
                <w:spacing w:val="-3"/>
                <w:sz w:val="16"/>
              </w:rPr>
              <w:t xml:space="preserve">et </w:t>
            </w:r>
            <w:r w:rsidRPr="006C70AF">
              <w:rPr>
                <w:spacing w:val="-5"/>
                <w:sz w:val="16"/>
              </w:rPr>
              <w:t xml:space="preserve">placements </w:t>
            </w:r>
            <w:r w:rsidRPr="006C70AF">
              <w:rPr>
                <w:spacing w:val="-4"/>
                <w:sz w:val="16"/>
              </w:rPr>
              <w:t xml:space="preserve">sous </w:t>
            </w:r>
            <w:r w:rsidRPr="006C70AF">
              <w:rPr>
                <w:spacing w:val="-3"/>
                <w:sz w:val="16"/>
              </w:rPr>
              <w:t xml:space="preserve">le </w:t>
            </w:r>
            <w:r w:rsidRPr="006C70AF">
              <w:rPr>
                <w:spacing w:val="-5"/>
                <w:sz w:val="16"/>
              </w:rPr>
              <w:t xml:space="preserve">volant </w:t>
            </w:r>
            <w:r w:rsidRPr="006C70AF">
              <w:rPr>
                <w:spacing w:val="-4"/>
                <w:sz w:val="16"/>
              </w:rPr>
              <w:t xml:space="preserve">sont </w:t>
            </w:r>
            <w:r w:rsidRPr="006C70AF">
              <w:rPr>
                <w:spacing w:val="-5"/>
                <w:sz w:val="16"/>
              </w:rPr>
              <w:t xml:space="preserve">souvent efficaces dans </w:t>
            </w:r>
            <w:r w:rsidRPr="006C70AF">
              <w:rPr>
                <w:spacing w:val="-4"/>
                <w:sz w:val="16"/>
              </w:rPr>
              <w:t xml:space="preserve">les </w:t>
            </w:r>
            <w:r w:rsidRPr="006C70AF">
              <w:rPr>
                <w:spacing w:val="-5"/>
                <w:sz w:val="16"/>
              </w:rPr>
              <w:t xml:space="preserve">phases </w:t>
            </w:r>
            <w:r w:rsidRPr="006C70AF">
              <w:rPr>
                <w:spacing w:val="-3"/>
                <w:sz w:val="16"/>
              </w:rPr>
              <w:t xml:space="preserve">de </w:t>
            </w:r>
            <w:r w:rsidRPr="006C70AF">
              <w:rPr>
                <w:spacing w:val="-4"/>
                <w:sz w:val="16"/>
              </w:rPr>
              <w:t xml:space="preserve">moindre </w:t>
            </w:r>
            <w:r w:rsidRPr="006C70AF">
              <w:rPr>
                <w:spacing w:val="-5"/>
                <w:sz w:val="16"/>
              </w:rPr>
              <w:t>pression.</w:t>
            </w:r>
          </w:p>
          <w:p w:rsidR="00911413" w:rsidRPr="006C70AF" w:rsidRDefault="001D5997">
            <w:pPr>
              <w:pStyle w:val="TableParagraph"/>
              <w:ind w:left="127" w:right="114"/>
              <w:jc w:val="both"/>
              <w:rPr>
                <w:sz w:val="16"/>
              </w:rPr>
            </w:pPr>
            <w:r w:rsidRPr="006C70AF">
              <w:rPr>
                <w:b/>
                <w:spacing w:val="-3"/>
                <w:sz w:val="16"/>
              </w:rPr>
              <w:t xml:space="preserve">Le </w:t>
            </w:r>
            <w:r w:rsidRPr="006C70AF">
              <w:rPr>
                <w:b/>
                <w:spacing w:val="-5"/>
                <w:sz w:val="16"/>
              </w:rPr>
              <w:t xml:space="preserve">candidat </w:t>
            </w:r>
            <w:r w:rsidRPr="006C70AF">
              <w:rPr>
                <w:b/>
                <w:spacing w:val="-3"/>
                <w:sz w:val="16"/>
              </w:rPr>
              <w:t xml:space="preserve">se </w:t>
            </w:r>
            <w:r w:rsidRPr="006C70AF">
              <w:rPr>
                <w:b/>
                <w:spacing w:val="-4"/>
                <w:sz w:val="16"/>
              </w:rPr>
              <w:t xml:space="preserve">déplace </w:t>
            </w:r>
            <w:r w:rsidRPr="006C70AF">
              <w:rPr>
                <w:b/>
                <w:spacing w:val="-3"/>
                <w:sz w:val="16"/>
              </w:rPr>
              <w:t xml:space="preserve">en pas </w:t>
            </w:r>
            <w:r w:rsidRPr="006C70AF">
              <w:rPr>
                <w:b/>
                <w:spacing w:val="-5"/>
                <w:sz w:val="16"/>
              </w:rPr>
              <w:t xml:space="preserve">chassés </w:t>
            </w:r>
            <w:r w:rsidRPr="006C70AF">
              <w:rPr>
                <w:spacing w:val="-4"/>
                <w:sz w:val="16"/>
              </w:rPr>
              <w:t xml:space="preserve">(ou courus) </w:t>
            </w:r>
            <w:r w:rsidRPr="006C70AF">
              <w:rPr>
                <w:spacing w:val="-3"/>
                <w:sz w:val="16"/>
              </w:rPr>
              <w:t xml:space="preserve">et </w:t>
            </w:r>
            <w:r w:rsidRPr="006C70AF">
              <w:rPr>
                <w:spacing w:val="-5"/>
                <w:sz w:val="16"/>
              </w:rPr>
              <w:t xml:space="preserve">joue </w:t>
            </w:r>
            <w:r w:rsidRPr="006C70AF">
              <w:rPr>
                <w:spacing w:val="-3"/>
                <w:sz w:val="16"/>
              </w:rPr>
              <w:t xml:space="preserve">en </w:t>
            </w:r>
            <w:r w:rsidRPr="006C70AF">
              <w:rPr>
                <w:spacing w:val="-5"/>
                <w:sz w:val="16"/>
              </w:rPr>
              <w:t>équilibre.</w:t>
            </w:r>
          </w:p>
          <w:p w:rsidR="00911413" w:rsidRPr="006C70AF" w:rsidRDefault="001D5997">
            <w:pPr>
              <w:pStyle w:val="TableParagraph"/>
              <w:spacing w:before="2" w:line="183" w:lineRule="exact"/>
              <w:ind w:left="127"/>
              <w:rPr>
                <w:sz w:val="16"/>
              </w:rPr>
            </w:pPr>
            <w:r w:rsidRPr="006C70AF">
              <w:rPr>
                <w:sz w:val="16"/>
              </w:rPr>
              <w:t>Se replace sans attendre vers le centre du terrain.</w:t>
            </w:r>
          </w:p>
          <w:p w:rsidR="00911413" w:rsidRPr="006C70AF" w:rsidRDefault="001D5997">
            <w:pPr>
              <w:pStyle w:val="TableParagraph"/>
              <w:ind w:left="127" w:right="110"/>
              <w:jc w:val="both"/>
              <w:rPr>
                <w:sz w:val="16"/>
              </w:rPr>
            </w:pPr>
            <w:r w:rsidRPr="006C70AF">
              <w:rPr>
                <w:spacing w:val="-3"/>
                <w:sz w:val="16"/>
              </w:rPr>
              <w:t xml:space="preserve">Le </w:t>
            </w:r>
            <w:r w:rsidRPr="006C70AF">
              <w:rPr>
                <w:spacing w:val="-5"/>
                <w:sz w:val="16"/>
              </w:rPr>
              <w:t xml:space="preserve">candidat </w:t>
            </w:r>
            <w:r w:rsidRPr="006C70AF">
              <w:rPr>
                <w:spacing w:val="-4"/>
                <w:sz w:val="16"/>
              </w:rPr>
              <w:t xml:space="preserve">sort </w:t>
            </w:r>
            <w:r w:rsidRPr="006C70AF">
              <w:rPr>
                <w:sz w:val="16"/>
              </w:rPr>
              <w:t xml:space="preserve">du </w:t>
            </w:r>
            <w:r w:rsidRPr="006C70AF">
              <w:rPr>
                <w:spacing w:val="-4"/>
                <w:sz w:val="16"/>
              </w:rPr>
              <w:t xml:space="preserve">jeu </w:t>
            </w:r>
            <w:r w:rsidRPr="006C70AF">
              <w:rPr>
                <w:spacing w:val="-3"/>
                <w:sz w:val="16"/>
              </w:rPr>
              <w:t xml:space="preserve">de </w:t>
            </w:r>
            <w:r w:rsidRPr="006C70AF">
              <w:rPr>
                <w:spacing w:val="-4"/>
                <w:sz w:val="16"/>
              </w:rPr>
              <w:t xml:space="preserve">face </w:t>
            </w:r>
            <w:r w:rsidRPr="006C70AF">
              <w:rPr>
                <w:sz w:val="16"/>
              </w:rPr>
              <w:t xml:space="preserve">: </w:t>
            </w:r>
            <w:r w:rsidRPr="006C70AF">
              <w:rPr>
                <w:spacing w:val="-5"/>
                <w:sz w:val="16"/>
              </w:rPr>
              <w:t xml:space="preserve">placement </w:t>
            </w:r>
            <w:r w:rsidRPr="006C70AF">
              <w:rPr>
                <w:spacing w:val="-3"/>
                <w:sz w:val="16"/>
              </w:rPr>
              <w:t xml:space="preserve">de </w:t>
            </w:r>
            <w:r w:rsidRPr="006C70AF">
              <w:rPr>
                <w:b/>
                <w:spacing w:val="-4"/>
                <w:sz w:val="16"/>
              </w:rPr>
              <w:t xml:space="preserve">profil </w:t>
            </w:r>
            <w:r w:rsidRPr="006C70AF">
              <w:rPr>
                <w:b/>
                <w:spacing w:val="-3"/>
                <w:sz w:val="16"/>
              </w:rPr>
              <w:t xml:space="preserve">en </w:t>
            </w:r>
            <w:r w:rsidRPr="006C70AF">
              <w:rPr>
                <w:b/>
                <w:spacing w:val="-5"/>
                <w:sz w:val="16"/>
              </w:rPr>
              <w:t xml:space="preserve">frappe </w:t>
            </w:r>
            <w:r w:rsidRPr="006C70AF">
              <w:rPr>
                <w:b/>
                <w:spacing w:val="-4"/>
                <w:sz w:val="16"/>
              </w:rPr>
              <w:t xml:space="preserve">haute </w:t>
            </w:r>
            <w:r w:rsidRPr="006C70AF">
              <w:rPr>
                <w:b/>
                <w:sz w:val="16"/>
              </w:rPr>
              <w:t xml:space="preserve">à </w:t>
            </w:r>
            <w:r w:rsidRPr="006C70AF">
              <w:rPr>
                <w:b/>
                <w:spacing w:val="-5"/>
                <w:sz w:val="16"/>
              </w:rPr>
              <w:t xml:space="preserve">mi-court </w:t>
            </w:r>
            <w:r w:rsidRPr="006C70AF">
              <w:rPr>
                <w:b/>
                <w:spacing w:val="-3"/>
                <w:sz w:val="16"/>
              </w:rPr>
              <w:t xml:space="preserve">ou </w:t>
            </w:r>
            <w:r w:rsidRPr="006C70AF">
              <w:rPr>
                <w:b/>
                <w:sz w:val="16"/>
              </w:rPr>
              <w:t xml:space="preserve">en </w:t>
            </w:r>
            <w:r w:rsidRPr="006C70AF">
              <w:rPr>
                <w:b/>
                <w:spacing w:val="-4"/>
                <w:sz w:val="16"/>
              </w:rPr>
              <w:t xml:space="preserve">fond </w:t>
            </w:r>
            <w:r w:rsidRPr="006C70AF">
              <w:rPr>
                <w:b/>
                <w:spacing w:val="-3"/>
                <w:sz w:val="16"/>
              </w:rPr>
              <w:t xml:space="preserve">de </w:t>
            </w:r>
            <w:r w:rsidRPr="006C70AF">
              <w:rPr>
                <w:b/>
                <w:spacing w:val="-4"/>
                <w:sz w:val="16"/>
              </w:rPr>
              <w:t xml:space="preserve">court </w:t>
            </w:r>
            <w:r w:rsidRPr="006C70AF">
              <w:rPr>
                <w:spacing w:val="-3"/>
                <w:sz w:val="16"/>
              </w:rPr>
              <w:t xml:space="preserve">et </w:t>
            </w:r>
            <w:r w:rsidRPr="006C70AF">
              <w:rPr>
                <w:spacing w:val="-5"/>
                <w:sz w:val="16"/>
              </w:rPr>
              <w:t xml:space="preserve">placement </w:t>
            </w:r>
            <w:r w:rsidRPr="006C70AF">
              <w:rPr>
                <w:sz w:val="16"/>
              </w:rPr>
              <w:t xml:space="preserve">à </w:t>
            </w:r>
            <w:r w:rsidRPr="006C70AF">
              <w:rPr>
                <w:spacing w:val="-5"/>
                <w:sz w:val="16"/>
              </w:rPr>
              <w:t xml:space="preserve">l’amble </w:t>
            </w:r>
            <w:r w:rsidRPr="006C70AF">
              <w:rPr>
                <w:spacing w:val="-3"/>
                <w:sz w:val="16"/>
              </w:rPr>
              <w:t xml:space="preserve">en </w:t>
            </w:r>
            <w:r w:rsidRPr="006C70AF">
              <w:rPr>
                <w:spacing w:val="-4"/>
                <w:sz w:val="16"/>
              </w:rPr>
              <w:t xml:space="preserve">fente avant pour les </w:t>
            </w:r>
            <w:r w:rsidRPr="006C70AF">
              <w:rPr>
                <w:spacing w:val="-5"/>
                <w:sz w:val="16"/>
              </w:rPr>
              <w:t xml:space="preserve">frappes </w:t>
            </w:r>
            <w:r w:rsidRPr="006C70AF">
              <w:rPr>
                <w:spacing w:val="-3"/>
                <w:sz w:val="16"/>
              </w:rPr>
              <w:t xml:space="preserve">au </w:t>
            </w:r>
            <w:r w:rsidRPr="006C70AF">
              <w:rPr>
                <w:spacing w:val="-4"/>
                <w:sz w:val="16"/>
              </w:rPr>
              <w:t xml:space="preserve">filet. </w:t>
            </w:r>
            <w:r w:rsidRPr="006C70AF">
              <w:rPr>
                <w:spacing w:val="-3"/>
                <w:sz w:val="16"/>
              </w:rPr>
              <w:t xml:space="preserve">La </w:t>
            </w:r>
            <w:r w:rsidRPr="006C70AF">
              <w:rPr>
                <w:spacing w:val="-4"/>
                <w:sz w:val="16"/>
              </w:rPr>
              <w:t xml:space="preserve">prise </w:t>
            </w:r>
            <w:r w:rsidRPr="006C70AF">
              <w:rPr>
                <w:spacing w:val="-3"/>
                <w:sz w:val="16"/>
              </w:rPr>
              <w:t xml:space="preserve">de </w:t>
            </w:r>
            <w:r w:rsidRPr="006C70AF">
              <w:rPr>
                <w:spacing w:val="-5"/>
                <w:sz w:val="16"/>
              </w:rPr>
              <w:t xml:space="preserve">raquette </w:t>
            </w:r>
            <w:r w:rsidRPr="006C70AF">
              <w:rPr>
                <w:spacing w:val="-4"/>
                <w:sz w:val="16"/>
              </w:rPr>
              <w:t xml:space="preserve">est </w:t>
            </w:r>
            <w:r w:rsidRPr="006C70AF">
              <w:rPr>
                <w:spacing w:val="-5"/>
                <w:sz w:val="16"/>
              </w:rPr>
              <w:t xml:space="preserve">parfois adaptée  </w:t>
            </w:r>
            <w:r w:rsidRPr="006C70AF">
              <w:rPr>
                <w:spacing w:val="-4"/>
                <w:sz w:val="16"/>
              </w:rPr>
              <w:t>(</w:t>
            </w:r>
            <w:r w:rsidRPr="006C70AF">
              <w:rPr>
                <w:b/>
                <w:spacing w:val="-4"/>
                <w:sz w:val="16"/>
              </w:rPr>
              <w:t xml:space="preserve">prise </w:t>
            </w:r>
            <w:r w:rsidRPr="006C70AF">
              <w:rPr>
                <w:b/>
                <w:spacing w:val="-5"/>
                <w:sz w:val="16"/>
              </w:rPr>
              <w:t>universelle</w:t>
            </w:r>
            <w:r w:rsidRPr="006C70AF">
              <w:rPr>
                <w:spacing w:val="-5"/>
                <w:sz w:val="16"/>
              </w:rPr>
              <w:t>)</w:t>
            </w:r>
          </w:p>
          <w:p w:rsidR="00911413" w:rsidRPr="006C70AF" w:rsidRDefault="001D5997">
            <w:pPr>
              <w:pStyle w:val="TableParagraph"/>
              <w:spacing w:before="2" w:line="170" w:lineRule="exact"/>
              <w:ind w:left="1431" w:right="1421"/>
              <w:jc w:val="center"/>
              <w:rPr>
                <w:b/>
                <w:sz w:val="16"/>
              </w:rPr>
            </w:pPr>
            <w:r w:rsidRPr="006C70AF">
              <w:rPr>
                <w:b/>
                <w:sz w:val="16"/>
              </w:rPr>
              <w:t>Niveau B</w:t>
            </w:r>
          </w:p>
        </w:tc>
        <w:tc>
          <w:tcPr>
            <w:tcW w:w="4962" w:type="dxa"/>
            <w:gridSpan w:val="4"/>
          </w:tcPr>
          <w:p w:rsidR="00911413" w:rsidRPr="006C70AF" w:rsidRDefault="001D5997">
            <w:pPr>
              <w:pStyle w:val="TableParagraph"/>
              <w:spacing w:line="179" w:lineRule="exact"/>
              <w:ind w:left="1970" w:right="1963"/>
              <w:jc w:val="center"/>
              <w:rPr>
                <w:b/>
                <w:sz w:val="16"/>
              </w:rPr>
            </w:pPr>
            <w:r w:rsidRPr="006C70AF">
              <w:rPr>
                <w:b/>
                <w:sz w:val="16"/>
              </w:rPr>
              <w:t>De 8 à 10 pts</w:t>
            </w:r>
          </w:p>
          <w:p w:rsidR="00911413" w:rsidRPr="006C70AF" w:rsidRDefault="001D5997">
            <w:pPr>
              <w:pStyle w:val="TableParagraph"/>
              <w:ind w:left="126" w:right="112"/>
              <w:jc w:val="both"/>
              <w:rPr>
                <w:sz w:val="16"/>
              </w:rPr>
            </w:pPr>
            <w:r w:rsidRPr="006C70AF">
              <w:rPr>
                <w:b/>
                <w:spacing w:val="-5"/>
                <w:sz w:val="16"/>
              </w:rPr>
              <w:t xml:space="preserve">Tant </w:t>
            </w:r>
            <w:r w:rsidRPr="006C70AF">
              <w:rPr>
                <w:b/>
                <w:spacing w:val="-4"/>
                <w:sz w:val="16"/>
              </w:rPr>
              <w:t>qu’</w:t>
            </w:r>
            <w:r w:rsidRPr="006C70AF">
              <w:rPr>
                <w:b/>
                <w:spacing w:val="-4"/>
                <w:sz w:val="16"/>
              </w:rPr>
              <w:t xml:space="preserve">il n’est </w:t>
            </w:r>
            <w:r w:rsidRPr="006C70AF">
              <w:rPr>
                <w:b/>
                <w:spacing w:val="-3"/>
                <w:sz w:val="16"/>
              </w:rPr>
              <w:t xml:space="preserve">pas </w:t>
            </w:r>
            <w:r w:rsidRPr="006C70AF">
              <w:rPr>
                <w:b/>
                <w:spacing w:val="-4"/>
                <w:sz w:val="16"/>
              </w:rPr>
              <w:t xml:space="preserve">trop </w:t>
            </w:r>
            <w:r w:rsidRPr="006C70AF">
              <w:rPr>
                <w:b/>
                <w:spacing w:val="-5"/>
                <w:sz w:val="16"/>
              </w:rPr>
              <w:t xml:space="preserve">proche </w:t>
            </w:r>
            <w:r w:rsidRPr="006C70AF">
              <w:rPr>
                <w:b/>
                <w:spacing w:val="-3"/>
                <w:sz w:val="16"/>
              </w:rPr>
              <w:t xml:space="preserve">du </w:t>
            </w:r>
            <w:r w:rsidRPr="006C70AF">
              <w:rPr>
                <w:b/>
                <w:spacing w:val="-4"/>
                <w:sz w:val="16"/>
              </w:rPr>
              <w:t xml:space="preserve">fond </w:t>
            </w:r>
            <w:r w:rsidRPr="006C70AF">
              <w:rPr>
                <w:b/>
                <w:spacing w:val="-3"/>
                <w:sz w:val="16"/>
              </w:rPr>
              <w:t xml:space="preserve">du </w:t>
            </w:r>
            <w:r w:rsidRPr="006C70AF">
              <w:rPr>
                <w:b/>
                <w:spacing w:val="-4"/>
                <w:sz w:val="16"/>
              </w:rPr>
              <w:t xml:space="preserve">court et/ou </w:t>
            </w:r>
            <w:r w:rsidRPr="006C70AF">
              <w:rPr>
                <w:b/>
                <w:spacing w:val="-3"/>
                <w:sz w:val="16"/>
              </w:rPr>
              <w:t xml:space="preserve">en </w:t>
            </w:r>
            <w:r w:rsidRPr="006C70AF">
              <w:rPr>
                <w:b/>
                <w:spacing w:val="-4"/>
                <w:sz w:val="16"/>
              </w:rPr>
              <w:t xml:space="preserve">crise </w:t>
            </w:r>
            <w:r w:rsidRPr="006C70AF">
              <w:rPr>
                <w:b/>
                <w:spacing w:val="-3"/>
                <w:sz w:val="16"/>
              </w:rPr>
              <w:t xml:space="preserve">de </w:t>
            </w:r>
            <w:r w:rsidRPr="006C70AF">
              <w:rPr>
                <w:b/>
                <w:spacing w:val="-5"/>
                <w:sz w:val="16"/>
              </w:rPr>
              <w:t xml:space="preserve">temps et/ou </w:t>
            </w:r>
            <w:r w:rsidRPr="006C70AF">
              <w:rPr>
                <w:b/>
                <w:spacing w:val="-4"/>
                <w:sz w:val="16"/>
              </w:rPr>
              <w:t xml:space="preserve">sur </w:t>
            </w:r>
            <w:r w:rsidRPr="006C70AF">
              <w:rPr>
                <w:b/>
                <w:spacing w:val="-3"/>
                <w:sz w:val="16"/>
              </w:rPr>
              <w:t xml:space="preserve">son </w:t>
            </w:r>
            <w:r w:rsidRPr="006C70AF">
              <w:rPr>
                <w:b/>
                <w:spacing w:val="-4"/>
                <w:sz w:val="16"/>
              </w:rPr>
              <w:t xml:space="preserve">revers haut, </w:t>
            </w:r>
            <w:r w:rsidRPr="006C70AF">
              <w:rPr>
                <w:spacing w:val="-5"/>
                <w:sz w:val="16"/>
              </w:rPr>
              <w:t xml:space="preserve">construit </w:t>
            </w:r>
            <w:r w:rsidRPr="006C70AF">
              <w:rPr>
                <w:spacing w:val="-3"/>
                <w:sz w:val="16"/>
              </w:rPr>
              <w:t xml:space="preserve">et </w:t>
            </w:r>
            <w:r w:rsidRPr="006C70AF">
              <w:rPr>
                <w:spacing w:val="-4"/>
                <w:sz w:val="16"/>
              </w:rPr>
              <w:t xml:space="preserve">marque avec des </w:t>
            </w:r>
            <w:r w:rsidRPr="006C70AF">
              <w:rPr>
                <w:b/>
                <w:spacing w:val="-5"/>
                <w:sz w:val="16"/>
              </w:rPr>
              <w:t xml:space="preserve">trajectoires variées </w:t>
            </w:r>
            <w:r w:rsidRPr="006C70AF">
              <w:rPr>
                <w:b/>
                <w:sz w:val="16"/>
              </w:rPr>
              <w:t xml:space="preserve">et </w:t>
            </w:r>
            <w:r w:rsidRPr="006C70AF">
              <w:rPr>
                <w:b/>
                <w:spacing w:val="-3"/>
                <w:sz w:val="16"/>
              </w:rPr>
              <w:t xml:space="preserve">plus </w:t>
            </w:r>
            <w:r w:rsidRPr="006C70AF">
              <w:rPr>
                <w:b/>
                <w:spacing w:val="-5"/>
                <w:sz w:val="16"/>
              </w:rPr>
              <w:t xml:space="preserve">précises </w:t>
            </w:r>
            <w:r w:rsidRPr="006C70AF">
              <w:rPr>
                <w:spacing w:val="-4"/>
                <w:sz w:val="16"/>
              </w:rPr>
              <w:t xml:space="preserve">(en </w:t>
            </w:r>
            <w:r w:rsidRPr="006C70AF">
              <w:rPr>
                <w:spacing w:val="-5"/>
                <w:sz w:val="16"/>
              </w:rPr>
              <w:t xml:space="preserve">hauteur, longueur, direction </w:t>
            </w:r>
            <w:r w:rsidRPr="006C70AF">
              <w:rPr>
                <w:spacing w:val="-3"/>
                <w:sz w:val="16"/>
              </w:rPr>
              <w:t xml:space="preserve">et </w:t>
            </w:r>
            <w:r w:rsidRPr="006C70AF">
              <w:rPr>
                <w:spacing w:val="-5"/>
                <w:sz w:val="16"/>
              </w:rPr>
              <w:t xml:space="preserve">vitesse) dans </w:t>
            </w:r>
            <w:r w:rsidRPr="006C70AF">
              <w:rPr>
                <w:sz w:val="16"/>
              </w:rPr>
              <w:t xml:space="preserve">un </w:t>
            </w:r>
            <w:r w:rsidRPr="006C70AF">
              <w:rPr>
                <w:spacing w:val="-5"/>
                <w:sz w:val="16"/>
              </w:rPr>
              <w:t xml:space="preserve">espace </w:t>
            </w:r>
            <w:r w:rsidRPr="006C70AF">
              <w:rPr>
                <w:spacing w:val="-3"/>
                <w:sz w:val="16"/>
              </w:rPr>
              <w:t xml:space="preserve">de jeu </w:t>
            </w:r>
            <w:r w:rsidRPr="006C70AF">
              <w:rPr>
                <w:spacing w:val="-5"/>
                <w:sz w:val="16"/>
              </w:rPr>
              <w:t xml:space="preserve">élargi </w:t>
            </w:r>
            <w:r w:rsidRPr="006C70AF">
              <w:rPr>
                <w:sz w:val="16"/>
              </w:rPr>
              <w:t xml:space="preserve">: </w:t>
            </w:r>
            <w:r w:rsidRPr="006C70AF">
              <w:rPr>
                <w:spacing w:val="-5"/>
                <w:sz w:val="16"/>
              </w:rPr>
              <w:t xml:space="preserve">alterne </w:t>
            </w:r>
            <w:r w:rsidRPr="006C70AF">
              <w:rPr>
                <w:spacing w:val="-4"/>
                <w:sz w:val="16"/>
              </w:rPr>
              <w:t xml:space="preserve">les </w:t>
            </w:r>
            <w:r w:rsidRPr="006C70AF">
              <w:rPr>
                <w:spacing w:val="-5"/>
                <w:sz w:val="16"/>
              </w:rPr>
              <w:t xml:space="preserve">zones visées (frappes placées éloignées </w:t>
            </w:r>
            <w:r w:rsidRPr="006C70AF">
              <w:rPr>
                <w:spacing w:val="-3"/>
                <w:sz w:val="16"/>
              </w:rPr>
              <w:t xml:space="preserve">du </w:t>
            </w:r>
            <w:r w:rsidRPr="006C70AF">
              <w:rPr>
                <w:spacing w:val="-5"/>
                <w:sz w:val="16"/>
              </w:rPr>
              <w:t xml:space="preserve">centre), utilise </w:t>
            </w:r>
            <w:r w:rsidRPr="006C70AF">
              <w:rPr>
                <w:spacing w:val="-4"/>
                <w:sz w:val="16"/>
              </w:rPr>
              <w:t xml:space="preserve">des </w:t>
            </w:r>
            <w:r w:rsidRPr="006C70AF">
              <w:rPr>
                <w:spacing w:val="-5"/>
                <w:sz w:val="16"/>
              </w:rPr>
              <w:t xml:space="preserve">frappes descendantes ralenties </w:t>
            </w:r>
            <w:r w:rsidRPr="006C70AF">
              <w:rPr>
                <w:sz w:val="16"/>
              </w:rPr>
              <w:t>ou</w:t>
            </w:r>
            <w:r w:rsidRPr="006C70AF">
              <w:rPr>
                <w:spacing w:val="-15"/>
                <w:sz w:val="16"/>
              </w:rPr>
              <w:t xml:space="preserve"> </w:t>
            </w:r>
            <w:r w:rsidRPr="006C70AF">
              <w:rPr>
                <w:spacing w:val="-5"/>
                <w:sz w:val="16"/>
              </w:rPr>
              <w:t>accélérées.</w:t>
            </w:r>
          </w:p>
          <w:p w:rsidR="00911413" w:rsidRPr="006C70AF" w:rsidRDefault="001D5997">
            <w:pPr>
              <w:pStyle w:val="TableParagraph"/>
              <w:spacing w:line="242" w:lineRule="auto"/>
              <w:ind w:left="126" w:right="113"/>
              <w:jc w:val="both"/>
              <w:rPr>
                <w:b/>
                <w:sz w:val="16"/>
              </w:rPr>
            </w:pPr>
            <w:r w:rsidRPr="006C70AF">
              <w:rPr>
                <w:b/>
                <w:spacing w:val="-3"/>
                <w:sz w:val="16"/>
              </w:rPr>
              <w:t xml:space="preserve">Le </w:t>
            </w:r>
            <w:r w:rsidRPr="006C70AF">
              <w:rPr>
                <w:b/>
                <w:spacing w:val="-5"/>
                <w:sz w:val="16"/>
              </w:rPr>
              <w:t xml:space="preserve">candidat </w:t>
            </w:r>
            <w:r w:rsidRPr="006C70AF">
              <w:rPr>
                <w:b/>
                <w:spacing w:val="-4"/>
                <w:sz w:val="16"/>
              </w:rPr>
              <w:t xml:space="preserve">peut </w:t>
            </w:r>
            <w:r w:rsidRPr="006C70AF">
              <w:rPr>
                <w:b/>
                <w:spacing w:val="-5"/>
                <w:sz w:val="16"/>
              </w:rPr>
              <w:t xml:space="preserve">privilégier aussi </w:t>
            </w:r>
            <w:r w:rsidRPr="006C70AF">
              <w:rPr>
                <w:b/>
                <w:spacing w:val="-4"/>
                <w:sz w:val="16"/>
              </w:rPr>
              <w:t xml:space="preserve">bien </w:t>
            </w:r>
            <w:r w:rsidRPr="006C70AF">
              <w:rPr>
                <w:b/>
                <w:sz w:val="16"/>
              </w:rPr>
              <w:t xml:space="preserve">la </w:t>
            </w:r>
            <w:r w:rsidRPr="006C70AF">
              <w:rPr>
                <w:b/>
                <w:spacing w:val="-5"/>
                <w:sz w:val="16"/>
              </w:rPr>
              <w:t xml:space="preserve">dominante vitesse (trajectoires tendues descendantes </w:t>
            </w:r>
            <w:r w:rsidRPr="006C70AF">
              <w:rPr>
                <w:b/>
                <w:spacing w:val="-3"/>
                <w:sz w:val="16"/>
              </w:rPr>
              <w:t xml:space="preserve">ou </w:t>
            </w:r>
            <w:r w:rsidRPr="006C70AF">
              <w:rPr>
                <w:b/>
                <w:spacing w:val="-5"/>
                <w:sz w:val="16"/>
              </w:rPr>
              <w:t xml:space="preserve">plates) </w:t>
            </w:r>
            <w:r w:rsidRPr="006C70AF">
              <w:rPr>
                <w:b/>
                <w:spacing w:val="-3"/>
                <w:sz w:val="16"/>
              </w:rPr>
              <w:t xml:space="preserve">que </w:t>
            </w:r>
            <w:r w:rsidRPr="006C70AF">
              <w:rPr>
                <w:b/>
                <w:spacing w:val="-5"/>
                <w:sz w:val="16"/>
              </w:rPr>
              <w:t xml:space="preserve">l’exploitation </w:t>
            </w:r>
            <w:r w:rsidRPr="006C70AF">
              <w:rPr>
                <w:b/>
                <w:spacing w:val="-3"/>
                <w:sz w:val="16"/>
              </w:rPr>
              <w:t xml:space="preserve">du </w:t>
            </w:r>
            <w:r w:rsidRPr="006C70AF">
              <w:rPr>
                <w:b/>
                <w:spacing w:val="-5"/>
                <w:sz w:val="16"/>
              </w:rPr>
              <w:t xml:space="preserve">terrain </w:t>
            </w:r>
            <w:r w:rsidRPr="006C70AF">
              <w:rPr>
                <w:b/>
                <w:spacing w:val="-4"/>
                <w:sz w:val="16"/>
              </w:rPr>
              <w:t xml:space="preserve">(par </w:t>
            </w:r>
            <w:r w:rsidRPr="006C70AF">
              <w:rPr>
                <w:b/>
                <w:sz w:val="16"/>
              </w:rPr>
              <w:t xml:space="preserve">le </w:t>
            </w:r>
            <w:r w:rsidRPr="006C70AF">
              <w:rPr>
                <w:b/>
                <w:spacing w:val="-4"/>
                <w:sz w:val="16"/>
              </w:rPr>
              <w:t xml:space="preserve">volume) pour gagner </w:t>
            </w:r>
            <w:r w:rsidRPr="006C70AF">
              <w:rPr>
                <w:b/>
                <w:spacing w:val="-5"/>
                <w:sz w:val="16"/>
              </w:rPr>
              <w:t>l’échange.</w:t>
            </w:r>
          </w:p>
          <w:p w:rsidR="00911413" w:rsidRDefault="001D5997">
            <w:pPr>
              <w:pStyle w:val="TableParagraph"/>
              <w:spacing w:before="2"/>
              <w:ind w:left="126" w:right="106"/>
              <w:rPr>
                <w:sz w:val="16"/>
              </w:rPr>
            </w:pPr>
            <w:r w:rsidRPr="006C70AF">
              <w:rPr>
                <w:spacing w:val="-5"/>
                <w:sz w:val="16"/>
              </w:rPr>
              <w:t xml:space="preserve">Fixe, déborde, exploite </w:t>
            </w:r>
            <w:r w:rsidRPr="006C70AF">
              <w:rPr>
                <w:sz w:val="16"/>
              </w:rPr>
              <w:t xml:space="preserve">le </w:t>
            </w:r>
            <w:r w:rsidRPr="006C70AF">
              <w:rPr>
                <w:spacing w:val="-5"/>
                <w:sz w:val="16"/>
              </w:rPr>
              <w:t xml:space="preserve">revers </w:t>
            </w:r>
            <w:r w:rsidRPr="006C70AF">
              <w:rPr>
                <w:spacing w:val="-4"/>
                <w:sz w:val="16"/>
              </w:rPr>
              <w:t xml:space="preserve">haut </w:t>
            </w:r>
            <w:r w:rsidRPr="006C70AF">
              <w:rPr>
                <w:spacing w:val="-3"/>
                <w:sz w:val="16"/>
              </w:rPr>
              <w:t xml:space="preserve">de </w:t>
            </w:r>
            <w:r w:rsidRPr="006C70AF">
              <w:rPr>
                <w:spacing w:val="-4"/>
                <w:sz w:val="16"/>
              </w:rPr>
              <w:t xml:space="preserve">fond </w:t>
            </w:r>
            <w:r w:rsidRPr="006C70AF">
              <w:rPr>
                <w:spacing w:val="-3"/>
                <w:sz w:val="16"/>
              </w:rPr>
              <w:t xml:space="preserve">de </w:t>
            </w:r>
            <w:r w:rsidRPr="006C70AF">
              <w:rPr>
                <w:spacing w:val="-4"/>
                <w:sz w:val="16"/>
              </w:rPr>
              <w:t xml:space="preserve">court </w:t>
            </w:r>
            <w:r w:rsidRPr="006C70AF">
              <w:rPr>
                <w:spacing w:val="-5"/>
                <w:sz w:val="16"/>
              </w:rPr>
              <w:t xml:space="preserve">adverse. </w:t>
            </w:r>
            <w:r>
              <w:rPr>
                <w:spacing w:val="-5"/>
                <w:sz w:val="16"/>
              </w:rPr>
              <w:t xml:space="preserve">Déplacements synchronisés </w:t>
            </w:r>
            <w:r>
              <w:rPr>
                <w:spacing w:val="-3"/>
                <w:sz w:val="16"/>
              </w:rPr>
              <w:t xml:space="preserve">et </w:t>
            </w:r>
            <w:r>
              <w:rPr>
                <w:spacing w:val="-5"/>
                <w:sz w:val="16"/>
              </w:rPr>
              <w:t xml:space="preserve">coordonnés </w:t>
            </w:r>
            <w:r>
              <w:rPr>
                <w:spacing w:val="-4"/>
                <w:sz w:val="16"/>
              </w:rPr>
              <w:t xml:space="preserve">sur tout </w:t>
            </w:r>
            <w:r>
              <w:rPr>
                <w:spacing w:val="-3"/>
                <w:sz w:val="16"/>
              </w:rPr>
              <w:t xml:space="preserve">le </w:t>
            </w:r>
            <w:r>
              <w:rPr>
                <w:spacing w:val="-5"/>
                <w:sz w:val="16"/>
              </w:rPr>
              <w:t xml:space="preserve">terrain </w:t>
            </w:r>
            <w:r>
              <w:rPr>
                <w:spacing w:val="-3"/>
                <w:sz w:val="16"/>
              </w:rPr>
              <w:t xml:space="preserve">même </w:t>
            </w:r>
            <w:r>
              <w:rPr>
                <w:spacing w:val="-5"/>
                <w:sz w:val="16"/>
              </w:rPr>
              <w:t xml:space="preserve">dans </w:t>
            </w:r>
            <w:r>
              <w:rPr>
                <w:spacing w:val="-4"/>
                <w:sz w:val="16"/>
              </w:rPr>
              <w:t xml:space="preserve">les </w:t>
            </w:r>
            <w:r>
              <w:rPr>
                <w:spacing w:val="-5"/>
                <w:sz w:val="16"/>
              </w:rPr>
              <w:t xml:space="preserve">phases </w:t>
            </w:r>
            <w:r>
              <w:rPr>
                <w:spacing w:val="-3"/>
                <w:sz w:val="16"/>
              </w:rPr>
              <w:t xml:space="preserve">de </w:t>
            </w:r>
            <w:r>
              <w:rPr>
                <w:spacing w:val="-5"/>
                <w:sz w:val="16"/>
              </w:rPr>
              <w:t xml:space="preserve">pression </w:t>
            </w:r>
            <w:r>
              <w:rPr>
                <w:spacing w:val="-4"/>
                <w:sz w:val="16"/>
              </w:rPr>
              <w:t xml:space="preserve">forte </w:t>
            </w:r>
            <w:r>
              <w:rPr>
                <w:sz w:val="16"/>
              </w:rPr>
              <w:t xml:space="preserve">: </w:t>
            </w:r>
            <w:r>
              <w:rPr>
                <w:spacing w:val="-4"/>
                <w:sz w:val="16"/>
              </w:rPr>
              <w:t xml:space="preserve">les </w:t>
            </w:r>
            <w:r>
              <w:rPr>
                <w:spacing w:val="-5"/>
                <w:sz w:val="16"/>
              </w:rPr>
              <w:t xml:space="preserve">actions </w:t>
            </w:r>
            <w:r>
              <w:rPr>
                <w:spacing w:val="-3"/>
                <w:sz w:val="16"/>
              </w:rPr>
              <w:t xml:space="preserve">de </w:t>
            </w:r>
            <w:r>
              <w:rPr>
                <w:spacing w:val="-5"/>
                <w:sz w:val="16"/>
              </w:rPr>
              <w:t xml:space="preserve">déplacement </w:t>
            </w:r>
            <w:r>
              <w:rPr>
                <w:sz w:val="16"/>
              </w:rPr>
              <w:t xml:space="preserve">– </w:t>
            </w:r>
            <w:r>
              <w:rPr>
                <w:spacing w:val="-5"/>
                <w:sz w:val="16"/>
              </w:rPr>
              <w:t xml:space="preserve">frappe </w:t>
            </w:r>
            <w:r>
              <w:rPr>
                <w:sz w:val="16"/>
              </w:rPr>
              <w:t xml:space="preserve">se </w:t>
            </w:r>
            <w:r>
              <w:rPr>
                <w:spacing w:val="-5"/>
                <w:sz w:val="16"/>
              </w:rPr>
              <w:t>superposent régulièr</w:t>
            </w:r>
            <w:r>
              <w:rPr>
                <w:spacing w:val="-5"/>
                <w:sz w:val="16"/>
              </w:rPr>
              <w:t xml:space="preserve">ement </w:t>
            </w:r>
            <w:r>
              <w:rPr>
                <w:spacing w:val="-3"/>
                <w:sz w:val="16"/>
              </w:rPr>
              <w:t xml:space="preserve">et </w:t>
            </w:r>
            <w:r>
              <w:rPr>
                <w:spacing w:val="-5"/>
                <w:sz w:val="16"/>
              </w:rPr>
              <w:t xml:space="preserve">permettent </w:t>
            </w:r>
            <w:r>
              <w:rPr>
                <w:spacing w:val="-3"/>
                <w:sz w:val="16"/>
              </w:rPr>
              <w:t xml:space="preserve">de </w:t>
            </w:r>
            <w:r>
              <w:rPr>
                <w:spacing w:val="-4"/>
                <w:sz w:val="16"/>
              </w:rPr>
              <w:t xml:space="preserve">jouer </w:t>
            </w:r>
            <w:r>
              <w:rPr>
                <w:spacing w:val="-3"/>
                <w:sz w:val="16"/>
              </w:rPr>
              <w:t xml:space="preserve">en </w:t>
            </w:r>
            <w:r>
              <w:rPr>
                <w:spacing w:val="-5"/>
                <w:sz w:val="16"/>
              </w:rPr>
              <w:t xml:space="preserve">équilibre </w:t>
            </w:r>
            <w:r>
              <w:rPr>
                <w:spacing w:val="-4"/>
                <w:sz w:val="16"/>
              </w:rPr>
              <w:t xml:space="preserve">bien </w:t>
            </w:r>
            <w:r>
              <w:rPr>
                <w:spacing w:val="-5"/>
                <w:sz w:val="16"/>
              </w:rPr>
              <w:t xml:space="preserve">placé. </w:t>
            </w:r>
            <w:r>
              <w:rPr>
                <w:b/>
                <w:spacing w:val="-3"/>
                <w:sz w:val="16"/>
              </w:rPr>
              <w:t xml:space="preserve">Le </w:t>
            </w:r>
            <w:r>
              <w:rPr>
                <w:b/>
                <w:spacing w:val="-5"/>
                <w:sz w:val="16"/>
              </w:rPr>
              <w:t xml:space="preserve">replacement, </w:t>
            </w:r>
            <w:r>
              <w:rPr>
                <w:b/>
                <w:spacing w:val="-4"/>
                <w:sz w:val="16"/>
              </w:rPr>
              <w:t xml:space="preserve">quasi </w:t>
            </w:r>
            <w:r>
              <w:rPr>
                <w:b/>
                <w:spacing w:val="-5"/>
                <w:sz w:val="16"/>
              </w:rPr>
              <w:t xml:space="preserve">systématique, </w:t>
            </w:r>
            <w:r>
              <w:rPr>
                <w:spacing w:val="-4"/>
                <w:sz w:val="16"/>
              </w:rPr>
              <w:t xml:space="preserve">prend </w:t>
            </w:r>
            <w:r>
              <w:rPr>
                <w:spacing w:val="-5"/>
                <w:sz w:val="16"/>
              </w:rPr>
              <w:t xml:space="preserve">parfois </w:t>
            </w:r>
            <w:r>
              <w:rPr>
                <w:spacing w:val="-3"/>
                <w:sz w:val="16"/>
              </w:rPr>
              <w:t xml:space="preserve">en </w:t>
            </w:r>
            <w:r>
              <w:rPr>
                <w:spacing w:val="-4"/>
                <w:sz w:val="16"/>
              </w:rPr>
              <w:t xml:space="preserve">compte </w:t>
            </w:r>
            <w:r>
              <w:rPr>
                <w:spacing w:val="-3"/>
                <w:sz w:val="16"/>
              </w:rPr>
              <w:t xml:space="preserve">la </w:t>
            </w:r>
            <w:r>
              <w:rPr>
                <w:spacing w:val="-5"/>
                <w:sz w:val="16"/>
              </w:rPr>
              <w:t xml:space="preserve">trajectoire </w:t>
            </w:r>
            <w:r>
              <w:rPr>
                <w:spacing w:val="-4"/>
                <w:sz w:val="16"/>
              </w:rPr>
              <w:t xml:space="preserve">émise </w:t>
            </w:r>
            <w:r>
              <w:rPr>
                <w:spacing w:val="-5"/>
                <w:sz w:val="16"/>
              </w:rPr>
              <w:t>(replacement tactique).</w:t>
            </w:r>
          </w:p>
          <w:p w:rsidR="00911413" w:rsidRDefault="001D5997">
            <w:pPr>
              <w:pStyle w:val="TableParagraph"/>
              <w:ind w:left="126" w:right="113"/>
              <w:jc w:val="both"/>
              <w:rPr>
                <w:sz w:val="16"/>
              </w:rPr>
            </w:pPr>
            <w:r>
              <w:rPr>
                <w:spacing w:val="-3"/>
                <w:sz w:val="16"/>
              </w:rPr>
              <w:t xml:space="preserve">La </w:t>
            </w:r>
            <w:r>
              <w:rPr>
                <w:spacing w:val="-4"/>
                <w:sz w:val="16"/>
              </w:rPr>
              <w:t xml:space="preserve">prise </w:t>
            </w:r>
            <w:r>
              <w:rPr>
                <w:sz w:val="16"/>
              </w:rPr>
              <w:t xml:space="preserve">de </w:t>
            </w:r>
            <w:r>
              <w:rPr>
                <w:spacing w:val="-5"/>
                <w:sz w:val="16"/>
              </w:rPr>
              <w:t xml:space="preserve">raquette universelle </w:t>
            </w:r>
            <w:r>
              <w:rPr>
                <w:spacing w:val="-4"/>
                <w:sz w:val="16"/>
              </w:rPr>
              <w:t xml:space="preserve">est </w:t>
            </w:r>
            <w:r>
              <w:rPr>
                <w:spacing w:val="-5"/>
                <w:sz w:val="16"/>
              </w:rPr>
              <w:t xml:space="preserve">systématisée. Adapte parfois </w:t>
            </w:r>
            <w:r>
              <w:rPr>
                <w:sz w:val="16"/>
              </w:rPr>
              <w:t xml:space="preserve">sa </w:t>
            </w:r>
            <w:r>
              <w:rPr>
                <w:spacing w:val="-5"/>
                <w:sz w:val="16"/>
              </w:rPr>
              <w:t xml:space="preserve">prise </w:t>
            </w:r>
            <w:r>
              <w:rPr>
                <w:sz w:val="16"/>
              </w:rPr>
              <w:t xml:space="preserve">en </w:t>
            </w:r>
            <w:r>
              <w:rPr>
                <w:spacing w:val="-5"/>
                <w:sz w:val="16"/>
              </w:rPr>
              <w:t>revers.</w:t>
            </w:r>
          </w:p>
          <w:p w:rsidR="00911413" w:rsidRDefault="001D5997">
            <w:pPr>
              <w:pStyle w:val="TableParagraph"/>
              <w:spacing w:line="180" w:lineRule="exact"/>
              <w:ind w:left="1970" w:right="1960"/>
              <w:jc w:val="center"/>
              <w:rPr>
                <w:b/>
                <w:sz w:val="16"/>
              </w:rPr>
            </w:pPr>
            <w:r>
              <w:rPr>
                <w:b/>
                <w:sz w:val="16"/>
              </w:rPr>
              <w:t>Niveau C</w:t>
            </w:r>
          </w:p>
        </w:tc>
      </w:tr>
      <w:tr w:rsidR="00911413">
        <w:trPr>
          <w:trHeight w:val="184"/>
        </w:trPr>
        <w:tc>
          <w:tcPr>
            <w:tcW w:w="1063" w:type="dxa"/>
            <w:vMerge w:val="restart"/>
          </w:tcPr>
          <w:p w:rsidR="00911413" w:rsidRDefault="00911413">
            <w:pPr>
              <w:pStyle w:val="TableParagraph"/>
              <w:rPr>
                <w:b/>
                <w:sz w:val="18"/>
              </w:rPr>
            </w:pPr>
          </w:p>
          <w:p w:rsidR="00911413" w:rsidRDefault="00911413">
            <w:pPr>
              <w:pStyle w:val="TableParagraph"/>
              <w:rPr>
                <w:b/>
                <w:sz w:val="18"/>
              </w:rPr>
            </w:pPr>
          </w:p>
          <w:p w:rsidR="00911413" w:rsidRDefault="00911413">
            <w:pPr>
              <w:pStyle w:val="TableParagraph"/>
              <w:rPr>
                <w:b/>
                <w:sz w:val="18"/>
              </w:rPr>
            </w:pPr>
          </w:p>
          <w:p w:rsidR="00911413" w:rsidRDefault="001D5997">
            <w:pPr>
              <w:pStyle w:val="TableParagraph"/>
              <w:spacing w:before="138"/>
              <w:ind w:left="223"/>
              <w:rPr>
                <w:b/>
                <w:sz w:val="16"/>
              </w:rPr>
            </w:pPr>
            <w:r>
              <w:rPr>
                <w:b/>
                <w:sz w:val="16"/>
              </w:rPr>
              <w:t>5 points</w:t>
            </w:r>
          </w:p>
        </w:tc>
        <w:tc>
          <w:tcPr>
            <w:tcW w:w="1595" w:type="dxa"/>
            <w:vMerge w:val="restart"/>
          </w:tcPr>
          <w:p w:rsidR="00911413" w:rsidRDefault="00911413">
            <w:pPr>
              <w:pStyle w:val="TableParagraph"/>
              <w:rPr>
                <w:b/>
                <w:sz w:val="18"/>
              </w:rPr>
            </w:pPr>
          </w:p>
          <w:p w:rsidR="00911413" w:rsidRDefault="00911413">
            <w:pPr>
              <w:pStyle w:val="TableParagraph"/>
              <w:rPr>
                <w:b/>
                <w:sz w:val="24"/>
              </w:rPr>
            </w:pPr>
          </w:p>
          <w:p w:rsidR="00911413" w:rsidRDefault="001D5997">
            <w:pPr>
              <w:pStyle w:val="TableParagraph"/>
              <w:ind w:left="69" w:right="87" w:firstLine="3"/>
              <w:jc w:val="center"/>
              <w:rPr>
                <w:b/>
                <w:sz w:val="16"/>
              </w:rPr>
            </w:pPr>
            <w:r>
              <w:rPr>
                <w:b/>
                <w:sz w:val="16"/>
              </w:rPr>
              <w:t>Efficacité des choix stratégiques et engagement dans le duel</w:t>
            </w:r>
          </w:p>
        </w:tc>
        <w:tc>
          <w:tcPr>
            <w:tcW w:w="7622" w:type="dxa"/>
            <w:gridSpan w:val="3"/>
            <w:tcBorders>
              <w:top w:val="single" w:sz="8" w:space="0" w:color="000000"/>
              <w:left w:val="double" w:sz="1" w:space="0" w:color="000000"/>
            </w:tcBorders>
          </w:tcPr>
          <w:p w:rsidR="00911413" w:rsidRDefault="001D5997">
            <w:pPr>
              <w:pStyle w:val="TableParagraph"/>
              <w:spacing w:line="164" w:lineRule="exact"/>
              <w:ind w:left="2500"/>
              <w:rPr>
                <w:b/>
                <w:sz w:val="16"/>
              </w:rPr>
            </w:pPr>
            <w:r>
              <w:rPr>
                <w:b/>
                <w:sz w:val="16"/>
              </w:rPr>
              <w:t>Évolution du score entre les 2 sets</w:t>
            </w:r>
          </w:p>
        </w:tc>
        <w:tc>
          <w:tcPr>
            <w:tcW w:w="1134" w:type="dxa"/>
            <w:gridSpan w:val="2"/>
            <w:tcBorders>
              <w:top w:val="single" w:sz="8" w:space="0" w:color="000000"/>
            </w:tcBorders>
          </w:tcPr>
          <w:p w:rsidR="00911413" w:rsidRDefault="001D5997">
            <w:pPr>
              <w:pStyle w:val="TableParagraph"/>
              <w:spacing w:line="164" w:lineRule="exact"/>
              <w:ind w:left="223"/>
              <w:rPr>
                <w:b/>
                <w:sz w:val="16"/>
              </w:rPr>
            </w:pPr>
            <w:r>
              <w:rPr>
                <w:b/>
                <w:sz w:val="16"/>
              </w:rPr>
              <w:t>Niveau A</w:t>
            </w:r>
          </w:p>
        </w:tc>
        <w:tc>
          <w:tcPr>
            <w:tcW w:w="1345" w:type="dxa"/>
            <w:tcBorders>
              <w:top w:val="single" w:sz="8" w:space="0" w:color="000000"/>
            </w:tcBorders>
          </w:tcPr>
          <w:p w:rsidR="00911413" w:rsidRDefault="001D5997">
            <w:pPr>
              <w:pStyle w:val="TableParagraph"/>
              <w:spacing w:line="164" w:lineRule="exact"/>
              <w:ind w:left="311" w:right="298"/>
              <w:jc w:val="center"/>
              <w:rPr>
                <w:b/>
                <w:sz w:val="16"/>
              </w:rPr>
            </w:pPr>
            <w:r>
              <w:rPr>
                <w:b/>
                <w:sz w:val="16"/>
              </w:rPr>
              <w:t>Niveau B</w:t>
            </w:r>
          </w:p>
        </w:tc>
        <w:tc>
          <w:tcPr>
            <w:tcW w:w="924" w:type="dxa"/>
            <w:tcBorders>
              <w:top w:val="single" w:sz="8" w:space="0" w:color="000000"/>
            </w:tcBorders>
          </w:tcPr>
          <w:p w:rsidR="00911413" w:rsidRDefault="001D5997">
            <w:pPr>
              <w:pStyle w:val="TableParagraph"/>
              <w:spacing w:line="164" w:lineRule="exact"/>
              <w:ind w:left="99" w:right="89"/>
              <w:jc w:val="center"/>
              <w:rPr>
                <w:b/>
                <w:sz w:val="16"/>
              </w:rPr>
            </w:pPr>
            <w:r>
              <w:rPr>
                <w:b/>
                <w:sz w:val="16"/>
              </w:rPr>
              <w:t>Niveau C</w:t>
            </w:r>
          </w:p>
        </w:tc>
        <w:tc>
          <w:tcPr>
            <w:tcW w:w="1982" w:type="dxa"/>
            <w:vMerge w:val="restart"/>
            <w:tcBorders>
              <w:bottom w:val="nil"/>
            </w:tcBorders>
          </w:tcPr>
          <w:p w:rsidR="00911413" w:rsidRDefault="00911413">
            <w:pPr>
              <w:pStyle w:val="TableParagraph"/>
              <w:rPr>
                <w:rFonts w:ascii="Times New Roman"/>
                <w:sz w:val="16"/>
              </w:rPr>
            </w:pPr>
          </w:p>
        </w:tc>
      </w:tr>
      <w:tr w:rsidR="00911413">
        <w:trPr>
          <w:trHeight w:val="184"/>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884" w:type="dxa"/>
            <w:tcBorders>
              <w:left w:val="double" w:sz="1" w:space="0" w:color="000000"/>
            </w:tcBorders>
          </w:tcPr>
          <w:p w:rsidR="00911413" w:rsidRDefault="001D5997">
            <w:pPr>
              <w:pStyle w:val="TableParagraph"/>
              <w:spacing w:line="164" w:lineRule="exact"/>
              <w:ind w:left="188"/>
              <w:rPr>
                <w:b/>
                <w:sz w:val="16"/>
              </w:rPr>
            </w:pPr>
            <w:r>
              <w:rPr>
                <w:b/>
                <w:sz w:val="16"/>
              </w:rPr>
              <w:t>Cas 6 :</w:t>
            </w:r>
          </w:p>
        </w:tc>
        <w:tc>
          <w:tcPr>
            <w:tcW w:w="6738" w:type="dxa"/>
            <w:gridSpan w:val="2"/>
          </w:tcPr>
          <w:p w:rsidR="00911413" w:rsidRDefault="001D5997">
            <w:pPr>
              <w:pStyle w:val="TableParagraph"/>
              <w:spacing w:line="164" w:lineRule="exact"/>
              <w:ind w:left="70"/>
              <w:rPr>
                <w:sz w:val="16"/>
              </w:rPr>
            </w:pPr>
            <w:r>
              <w:rPr>
                <w:sz w:val="16"/>
              </w:rPr>
              <w:t>Gagne les 2 sets en augmentant l’écart sur le second set</w:t>
            </w:r>
          </w:p>
        </w:tc>
        <w:tc>
          <w:tcPr>
            <w:tcW w:w="1134" w:type="dxa"/>
            <w:gridSpan w:val="2"/>
          </w:tcPr>
          <w:p w:rsidR="00911413" w:rsidRDefault="001D5997">
            <w:pPr>
              <w:pStyle w:val="TableParagraph"/>
              <w:spacing w:line="164" w:lineRule="exact"/>
              <w:ind w:left="434" w:right="427"/>
              <w:jc w:val="center"/>
              <w:rPr>
                <w:sz w:val="16"/>
              </w:rPr>
            </w:pPr>
            <w:r>
              <w:rPr>
                <w:sz w:val="16"/>
              </w:rPr>
              <w:t>3,5</w:t>
            </w:r>
          </w:p>
        </w:tc>
        <w:tc>
          <w:tcPr>
            <w:tcW w:w="1345" w:type="dxa"/>
          </w:tcPr>
          <w:p w:rsidR="00911413" w:rsidRDefault="001D5997">
            <w:pPr>
              <w:pStyle w:val="TableParagraph"/>
              <w:spacing w:line="164" w:lineRule="exact"/>
              <w:ind w:left="308" w:right="298"/>
              <w:jc w:val="center"/>
              <w:rPr>
                <w:sz w:val="16"/>
              </w:rPr>
            </w:pPr>
            <w:r>
              <w:rPr>
                <w:sz w:val="16"/>
              </w:rPr>
              <w:t>4,5</w:t>
            </w:r>
          </w:p>
        </w:tc>
        <w:tc>
          <w:tcPr>
            <w:tcW w:w="924" w:type="dxa"/>
          </w:tcPr>
          <w:p w:rsidR="00911413" w:rsidRDefault="001D5997">
            <w:pPr>
              <w:pStyle w:val="TableParagraph"/>
              <w:spacing w:line="164" w:lineRule="exact"/>
              <w:ind w:left="8"/>
              <w:jc w:val="center"/>
              <w:rPr>
                <w:sz w:val="16"/>
              </w:rPr>
            </w:pPr>
            <w:r>
              <w:rPr>
                <w:sz w:val="16"/>
              </w:rPr>
              <w:t>5</w:t>
            </w:r>
          </w:p>
        </w:tc>
        <w:tc>
          <w:tcPr>
            <w:tcW w:w="1982" w:type="dxa"/>
            <w:vMerge/>
            <w:tcBorders>
              <w:top w:val="nil"/>
              <w:bottom w:val="nil"/>
            </w:tcBorders>
          </w:tcPr>
          <w:p w:rsidR="00911413" w:rsidRDefault="00911413">
            <w:pPr>
              <w:rPr>
                <w:sz w:val="2"/>
                <w:szCs w:val="2"/>
              </w:rPr>
            </w:pPr>
          </w:p>
        </w:tc>
      </w:tr>
      <w:tr w:rsidR="00911413">
        <w:trPr>
          <w:trHeight w:val="182"/>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884" w:type="dxa"/>
            <w:tcBorders>
              <w:left w:val="double" w:sz="1" w:space="0" w:color="000000"/>
            </w:tcBorders>
          </w:tcPr>
          <w:p w:rsidR="00911413" w:rsidRDefault="001D5997">
            <w:pPr>
              <w:pStyle w:val="TableParagraph"/>
              <w:spacing w:line="163" w:lineRule="exact"/>
              <w:ind w:left="188"/>
              <w:rPr>
                <w:b/>
                <w:sz w:val="16"/>
              </w:rPr>
            </w:pPr>
            <w:r>
              <w:rPr>
                <w:b/>
                <w:sz w:val="16"/>
              </w:rPr>
              <w:t>Cas 5 :</w:t>
            </w:r>
          </w:p>
        </w:tc>
        <w:tc>
          <w:tcPr>
            <w:tcW w:w="6738" w:type="dxa"/>
            <w:gridSpan w:val="2"/>
          </w:tcPr>
          <w:p w:rsidR="00911413" w:rsidRDefault="001D5997">
            <w:pPr>
              <w:pStyle w:val="TableParagraph"/>
              <w:spacing w:line="163" w:lineRule="exact"/>
              <w:ind w:left="70"/>
              <w:rPr>
                <w:sz w:val="16"/>
              </w:rPr>
            </w:pPr>
            <w:r>
              <w:rPr>
                <w:sz w:val="16"/>
              </w:rPr>
              <w:t>Gagne les 2 sets avec dans le 2</w:t>
            </w:r>
            <w:r>
              <w:rPr>
                <w:sz w:val="16"/>
                <w:vertAlign w:val="superscript"/>
              </w:rPr>
              <w:t>ème</w:t>
            </w:r>
            <w:r>
              <w:rPr>
                <w:sz w:val="16"/>
              </w:rPr>
              <w:t xml:space="preserve"> set un écart de points inférieur ou égal à celui du 1</w:t>
            </w:r>
            <w:r>
              <w:rPr>
                <w:sz w:val="16"/>
                <w:vertAlign w:val="superscript"/>
              </w:rPr>
              <w:t>er</w:t>
            </w:r>
            <w:r>
              <w:rPr>
                <w:sz w:val="16"/>
              </w:rPr>
              <w:t xml:space="preserve"> set</w:t>
            </w:r>
          </w:p>
        </w:tc>
        <w:tc>
          <w:tcPr>
            <w:tcW w:w="1134" w:type="dxa"/>
            <w:gridSpan w:val="2"/>
          </w:tcPr>
          <w:p w:rsidR="00911413" w:rsidRDefault="001D5997">
            <w:pPr>
              <w:pStyle w:val="TableParagraph"/>
              <w:spacing w:line="163" w:lineRule="exact"/>
              <w:ind w:left="7"/>
              <w:jc w:val="center"/>
              <w:rPr>
                <w:sz w:val="16"/>
              </w:rPr>
            </w:pPr>
            <w:r>
              <w:rPr>
                <w:sz w:val="16"/>
              </w:rPr>
              <w:t>3</w:t>
            </w:r>
          </w:p>
        </w:tc>
        <w:tc>
          <w:tcPr>
            <w:tcW w:w="1345" w:type="dxa"/>
          </w:tcPr>
          <w:p w:rsidR="00911413" w:rsidRDefault="001D5997">
            <w:pPr>
              <w:pStyle w:val="TableParagraph"/>
              <w:spacing w:line="163" w:lineRule="exact"/>
              <w:ind w:left="10"/>
              <w:jc w:val="center"/>
              <w:rPr>
                <w:sz w:val="16"/>
              </w:rPr>
            </w:pPr>
            <w:r>
              <w:rPr>
                <w:sz w:val="16"/>
              </w:rPr>
              <w:t>4</w:t>
            </w:r>
          </w:p>
        </w:tc>
        <w:tc>
          <w:tcPr>
            <w:tcW w:w="924" w:type="dxa"/>
          </w:tcPr>
          <w:p w:rsidR="00911413" w:rsidRDefault="001D5997">
            <w:pPr>
              <w:pStyle w:val="TableParagraph"/>
              <w:spacing w:line="163" w:lineRule="exact"/>
              <w:ind w:left="94" w:right="89"/>
              <w:jc w:val="center"/>
              <w:rPr>
                <w:sz w:val="16"/>
              </w:rPr>
            </w:pPr>
            <w:r>
              <w:rPr>
                <w:sz w:val="16"/>
              </w:rPr>
              <w:t>4,75</w:t>
            </w:r>
          </w:p>
        </w:tc>
        <w:tc>
          <w:tcPr>
            <w:tcW w:w="1982" w:type="dxa"/>
            <w:vMerge/>
            <w:tcBorders>
              <w:top w:val="nil"/>
              <w:bottom w:val="nil"/>
            </w:tcBorders>
          </w:tcPr>
          <w:p w:rsidR="00911413" w:rsidRDefault="00911413">
            <w:pPr>
              <w:rPr>
                <w:sz w:val="2"/>
                <w:szCs w:val="2"/>
              </w:rPr>
            </w:pPr>
          </w:p>
        </w:tc>
      </w:tr>
      <w:tr w:rsidR="00911413">
        <w:trPr>
          <w:trHeight w:val="184"/>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884" w:type="dxa"/>
            <w:tcBorders>
              <w:left w:val="double" w:sz="1" w:space="0" w:color="000000"/>
            </w:tcBorders>
          </w:tcPr>
          <w:p w:rsidR="00911413" w:rsidRDefault="001D5997">
            <w:pPr>
              <w:pStyle w:val="TableParagraph"/>
              <w:spacing w:line="164" w:lineRule="exact"/>
              <w:ind w:left="188"/>
              <w:rPr>
                <w:b/>
                <w:sz w:val="16"/>
              </w:rPr>
            </w:pPr>
            <w:r>
              <w:rPr>
                <w:b/>
                <w:sz w:val="16"/>
              </w:rPr>
              <w:t>Cas 4 :</w:t>
            </w:r>
          </w:p>
        </w:tc>
        <w:tc>
          <w:tcPr>
            <w:tcW w:w="6738" w:type="dxa"/>
            <w:gridSpan w:val="2"/>
          </w:tcPr>
          <w:p w:rsidR="00911413" w:rsidRDefault="001D5997">
            <w:pPr>
              <w:pStyle w:val="TableParagraph"/>
              <w:spacing w:line="164" w:lineRule="exact"/>
              <w:ind w:left="70"/>
              <w:rPr>
                <w:sz w:val="16"/>
              </w:rPr>
            </w:pPr>
            <w:r>
              <w:rPr>
                <w:sz w:val="16"/>
              </w:rPr>
              <w:t>Gagne le second set après avoir perdu le 1er</w:t>
            </w:r>
          </w:p>
        </w:tc>
        <w:tc>
          <w:tcPr>
            <w:tcW w:w="1134" w:type="dxa"/>
            <w:gridSpan w:val="2"/>
          </w:tcPr>
          <w:p w:rsidR="00911413" w:rsidRDefault="001D5997">
            <w:pPr>
              <w:pStyle w:val="TableParagraph"/>
              <w:spacing w:line="164" w:lineRule="exact"/>
              <w:ind w:left="434" w:right="427"/>
              <w:jc w:val="center"/>
              <w:rPr>
                <w:sz w:val="16"/>
              </w:rPr>
            </w:pPr>
            <w:r>
              <w:rPr>
                <w:sz w:val="16"/>
              </w:rPr>
              <w:t>2,5</w:t>
            </w:r>
          </w:p>
        </w:tc>
        <w:tc>
          <w:tcPr>
            <w:tcW w:w="1345" w:type="dxa"/>
          </w:tcPr>
          <w:p w:rsidR="00911413" w:rsidRDefault="001D5997">
            <w:pPr>
              <w:pStyle w:val="TableParagraph"/>
              <w:spacing w:line="164" w:lineRule="exact"/>
              <w:ind w:left="308" w:right="298"/>
              <w:jc w:val="center"/>
              <w:rPr>
                <w:sz w:val="16"/>
              </w:rPr>
            </w:pPr>
            <w:r>
              <w:rPr>
                <w:sz w:val="16"/>
              </w:rPr>
              <w:t>3,5</w:t>
            </w:r>
          </w:p>
        </w:tc>
        <w:tc>
          <w:tcPr>
            <w:tcW w:w="924" w:type="dxa"/>
          </w:tcPr>
          <w:p w:rsidR="00911413" w:rsidRDefault="001D5997">
            <w:pPr>
              <w:pStyle w:val="TableParagraph"/>
              <w:spacing w:line="164" w:lineRule="exact"/>
              <w:ind w:left="97" w:right="89"/>
              <w:jc w:val="center"/>
              <w:rPr>
                <w:sz w:val="16"/>
              </w:rPr>
            </w:pPr>
            <w:r>
              <w:rPr>
                <w:sz w:val="16"/>
              </w:rPr>
              <w:t>4,5</w:t>
            </w:r>
          </w:p>
        </w:tc>
        <w:tc>
          <w:tcPr>
            <w:tcW w:w="1982" w:type="dxa"/>
            <w:vMerge/>
            <w:tcBorders>
              <w:top w:val="nil"/>
              <w:bottom w:val="nil"/>
            </w:tcBorders>
          </w:tcPr>
          <w:p w:rsidR="00911413" w:rsidRDefault="00911413">
            <w:pPr>
              <w:rPr>
                <w:sz w:val="2"/>
                <w:szCs w:val="2"/>
              </w:rPr>
            </w:pPr>
          </w:p>
        </w:tc>
      </w:tr>
      <w:tr w:rsidR="00911413">
        <w:trPr>
          <w:trHeight w:val="184"/>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884" w:type="dxa"/>
            <w:tcBorders>
              <w:left w:val="double" w:sz="1" w:space="0" w:color="000000"/>
            </w:tcBorders>
          </w:tcPr>
          <w:p w:rsidR="00911413" w:rsidRDefault="001D5997">
            <w:pPr>
              <w:pStyle w:val="TableParagraph"/>
              <w:spacing w:line="164" w:lineRule="exact"/>
              <w:ind w:left="188"/>
              <w:rPr>
                <w:b/>
                <w:sz w:val="16"/>
              </w:rPr>
            </w:pPr>
            <w:r>
              <w:rPr>
                <w:b/>
                <w:sz w:val="16"/>
              </w:rPr>
              <w:t>Cas 3 :</w:t>
            </w:r>
          </w:p>
        </w:tc>
        <w:tc>
          <w:tcPr>
            <w:tcW w:w="6738" w:type="dxa"/>
            <w:gridSpan w:val="2"/>
          </w:tcPr>
          <w:p w:rsidR="00911413" w:rsidRDefault="001D5997">
            <w:pPr>
              <w:pStyle w:val="TableParagraph"/>
              <w:spacing w:line="164" w:lineRule="exact"/>
              <w:ind w:left="70"/>
              <w:rPr>
                <w:sz w:val="16"/>
              </w:rPr>
            </w:pPr>
            <w:r>
              <w:rPr>
                <w:sz w:val="16"/>
              </w:rPr>
              <w:t>Perd le second set après avoir gagné le 1</w:t>
            </w:r>
            <w:r>
              <w:rPr>
                <w:sz w:val="16"/>
                <w:vertAlign w:val="superscript"/>
              </w:rPr>
              <w:t>er</w:t>
            </w:r>
          </w:p>
        </w:tc>
        <w:tc>
          <w:tcPr>
            <w:tcW w:w="1134" w:type="dxa"/>
            <w:gridSpan w:val="2"/>
          </w:tcPr>
          <w:p w:rsidR="00911413" w:rsidRDefault="001D5997">
            <w:pPr>
              <w:pStyle w:val="TableParagraph"/>
              <w:spacing w:line="164" w:lineRule="exact"/>
              <w:ind w:left="7"/>
              <w:jc w:val="center"/>
              <w:rPr>
                <w:sz w:val="16"/>
              </w:rPr>
            </w:pPr>
            <w:r>
              <w:rPr>
                <w:sz w:val="16"/>
              </w:rPr>
              <w:t>2</w:t>
            </w:r>
          </w:p>
        </w:tc>
        <w:tc>
          <w:tcPr>
            <w:tcW w:w="1345" w:type="dxa"/>
          </w:tcPr>
          <w:p w:rsidR="00911413" w:rsidRDefault="001D5997">
            <w:pPr>
              <w:pStyle w:val="TableParagraph"/>
              <w:spacing w:line="164" w:lineRule="exact"/>
              <w:ind w:left="10"/>
              <w:jc w:val="center"/>
              <w:rPr>
                <w:sz w:val="16"/>
              </w:rPr>
            </w:pPr>
            <w:r>
              <w:rPr>
                <w:sz w:val="16"/>
              </w:rPr>
              <w:t>3</w:t>
            </w:r>
          </w:p>
        </w:tc>
        <w:tc>
          <w:tcPr>
            <w:tcW w:w="924" w:type="dxa"/>
          </w:tcPr>
          <w:p w:rsidR="00911413" w:rsidRDefault="001D5997">
            <w:pPr>
              <w:pStyle w:val="TableParagraph"/>
              <w:spacing w:line="164" w:lineRule="exact"/>
              <w:ind w:left="94" w:right="89"/>
              <w:jc w:val="center"/>
              <w:rPr>
                <w:sz w:val="16"/>
              </w:rPr>
            </w:pPr>
            <w:r>
              <w:rPr>
                <w:sz w:val="16"/>
              </w:rPr>
              <w:t>4,25</w:t>
            </w:r>
          </w:p>
        </w:tc>
        <w:tc>
          <w:tcPr>
            <w:tcW w:w="1982" w:type="dxa"/>
            <w:vMerge/>
            <w:tcBorders>
              <w:top w:val="nil"/>
              <w:bottom w:val="nil"/>
            </w:tcBorders>
          </w:tcPr>
          <w:p w:rsidR="00911413" w:rsidRDefault="00911413">
            <w:pPr>
              <w:rPr>
                <w:sz w:val="2"/>
                <w:szCs w:val="2"/>
              </w:rPr>
            </w:pPr>
          </w:p>
        </w:tc>
      </w:tr>
      <w:tr w:rsidR="00911413">
        <w:trPr>
          <w:trHeight w:val="184"/>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884" w:type="dxa"/>
            <w:tcBorders>
              <w:left w:val="double" w:sz="1" w:space="0" w:color="000000"/>
            </w:tcBorders>
          </w:tcPr>
          <w:p w:rsidR="00911413" w:rsidRDefault="001D5997">
            <w:pPr>
              <w:pStyle w:val="TableParagraph"/>
              <w:spacing w:line="164" w:lineRule="exact"/>
              <w:ind w:left="188"/>
              <w:rPr>
                <w:b/>
                <w:sz w:val="16"/>
              </w:rPr>
            </w:pPr>
            <w:r>
              <w:rPr>
                <w:b/>
                <w:sz w:val="16"/>
              </w:rPr>
              <w:t>Cas 2 :</w:t>
            </w:r>
          </w:p>
        </w:tc>
        <w:tc>
          <w:tcPr>
            <w:tcW w:w="6738" w:type="dxa"/>
            <w:gridSpan w:val="2"/>
          </w:tcPr>
          <w:p w:rsidR="00911413" w:rsidRDefault="001D5997">
            <w:pPr>
              <w:pStyle w:val="TableParagraph"/>
              <w:spacing w:line="164" w:lineRule="exact"/>
              <w:ind w:left="70"/>
              <w:rPr>
                <w:sz w:val="16"/>
              </w:rPr>
            </w:pPr>
            <w:r>
              <w:rPr>
                <w:sz w:val="16"/>
              </w:rPr>
              <w:t>Perd les 2 sets en réduisant l’écart d’au moins 2 points sur le second set.</w:t>
            </w:r>
          </w:p>
        </w:tc>
        <w:tc>
          <w:tcPr>
            <w:tcW w:w="1134" w:type="dxa"/>
            <w:gridSpan w:val="2"/>
          </w:tcPr>
          <w:p w:rsidR="00911413" w:rsidRDefault="001D5997">
            <w:pPr>
              <w:pStyle w:val="TableParagraph"/>
              <w:spacing w:line="164" w:lineRule="exact"/>
              <w:ind w:left="434" w:right="427"/>
              <w:jc w:val="center"/>
              <w:rPr>
                <w:sz w:val="16"/>
              </w:rPr>
            </w:pPr>
            <w:r>
              <w:rPr>
                <w:sz w:val="16"/>
              </w:rPr>
              <w:t>1,5</w:t>
            </w:r>
          </w:p>
        </w:tc>
        <w:tc>
          <w:tcPr>
            <w:tcW w:w="1345" w:type="dxa"/>
          </w:tcPr>
          <w:p w:rsidR="00911413" w:rsidRDefault="001D5997">
            <w:pPr>
              <w:pStyle w:val="TableParagraph"/>
              <w:spacing w:line="164" w:lineRule="exact"/>
              <w:ind w:left="308" w:right="298"/>
              <w:jc w:val="center"/>
              <w:rPr>
                <w:sz w:val="16"/>
              </w:rPr>
            </w:pPr>
            <w:r>
              <w:rPr>
                <w:sz w:val="16"/>
              </w:rPr>
              <w:t>2,5</w:t>
            </w:r>
          </w:p>
        </w:tc>
        <w:tc>
          <w:tcPr>
            <w:tcW w:w="924" w:type="dxa"/>
          </w:tcPr>
          <w:p w:rsidR="00911413" w:rsidRDefault="001D5997">
            <w:pPr>
              <w:pStyle w:val="TableParagraph"/>
              <w:spacing w:line="164" w:lineRule="exact"/>
              <w:ind w:left="8"/>
              <w:jc w:val="center"/>
              <w:rPr>
                <w:sz w:val="16"/>
              </w:rPr>
            </w:pPr>
            <w:r>
              <w:rPr>
                <w:sz w:val="16"/>
              </w:rPr>
              <w:t>4</w:t>
            </w:r>
          </w:p>
        </w:tc>
        <w:tc>
          <w:tcPr>
            <w:tcW w:w="1982" w:type="dxa"/>
            <w:vMerge/>
            <w:tcBorders>
              <w:top w:val="nil"/>
              <w:bottom w:val="nil"/>
            </w:tcBorders>
          </w:tcPr>
          <w:p w:rsidR="00911413" w:rsidRDefault="00911413">
            <w:pPr>
              <w:rPr>
                <w:sz w:val="2"/>
                <w:szCs w:val="2"/>
              </w:rPr>
            </w:pPr>
          </w:p>
        </w:tc>
      </w:tr>
      <w:tr w:rsidR="00911413">
        <w:trPr>
          <w:trHeight w:val="184"/>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884" w:type="dxa"/>
            <w:tcBorders>
              <w:left w:val="double" w:sz="1" w:space="0" w:color="000000"/>
            </w:tcBorders>
          </w:tcPr>
          <w:p w:rsidR="00911413" w:rsidRDefault="001D5997">
            <w:pPr>
              <w:pStyle w:val="TableParagraph"/>
              <w:spacing w:line="164" w:lineRule="exact"/>
              <w:ind w:left="202"/>
              <w:rPr>
                <w:b/>
                <w:sz w:val="16"/>
              </w:rPr>
            </w:pPr>
            <w:r>
              <w:rPr>
                <w:b/>
                <w:sz w:val="16"/>
              </w:rPr>
              <w:t>cas 1 :</w:t>
            </w:r>
          </w:p>
        </w:tc>
        <w:tc>
          <w:tcPr>
            <w:tcW w:w="6738" w:type="dxa"/>
            <w:gridSpan w:val="2"/>
          </w:tcPr>
          <w:p w:rsidR="00911413" w:rsidRDefault="001D5997">
            <w:pPr>
              <w:pStyle w:val="TableParagraph"/>
              <w:spacing w:line="164" w:lineRule="exact"/>
              <w:ind w:left="70"/>
              <w:rPr>
                <w:sz w:val="16"/>
              </w:rPr>
            </w:pPr>
            <w:r>
              <w:rPr>
                <w:sz w:val="16"/>
              </w:rPr>
              <w:t>Perd les 2 sets sans évolution positive du score sur le second set</w:t>
            </w:r>
          </w:p>
        </w:tc>
        <w:tc>
          <w:tcPr>
            <w:tcW w:w="1134" w:type="dxa"/>
            <w:gridSpan w:val="2"/>
          </w:tcPr>
          <w:p w:rsidR="00911413" w:rsidRDefault="001D5997">
            <w:pPr>
              <w:pStyle w:val="TableParagraph"/>
              <w:spacing w:line="164" w:lineRule="exact"/>
              <w:ind w:left="7"/>
              <w:jc w:val="center"/>
              <w:rPr>
                <w:sz w:val="16"/>
              </w:rPr>
            </w:pPr>
            <w:r>
              <w:rPr>
                <w:sz w:val="16"/>
              </w:rPr>
              <w:t>1</w:t>
            </w:r>
          </w:p>
        </w:tc>
        <w:tc>
          <w:tcPr>
            <w:tcW w:w="1345" w:type="dxa"/>
          </w:tcPr>
          <w:p w:rsidR="00911413" w:rsidRDefault="001D5997">
            <w:pPr>
              <w:pStyle w:val="TableParagraph"/>
              <w:spacing w:line="164" w:lineRule="exact"/>
              <w:ind w:left="10"/>
              <w:jc w:val="center"/>
              <w:rPr>
                <w:sz w:val="16"/>
              </w:rPr>
            </w:pPr>
            <w:r>
              <w:rPr>
                <w:sz w:val="16"/>
              </w:rPr>
              <w:t>2</w:t>
            </w:r>
          </w:p>
        </w:tc>
        <w:tc>
          <w:tcPr>
            <w:tcW w:w="924" w:type="dxa"/>
          </w:tcPr>
          <w:p w:rsidR="00911413" w:rsidRDefault="001D5997">
            <w:pPr>
              <w:pStyle w:val="TableParagraph"/>
              <w:spacing w:line="164" w:lineRule="exact"/>
              <w:ind w:left="97" w:right="89"/>
              <w:jc w:val="center"/>
              <w:rPr>
                <w:sz w:val="16"/>
              </w:rPr>
            </w:pPr>
            <w:r>
              <w:rPr>
                <w:sz w:val="16"/>
              </w:rPr>
              <w:t>3,5</w:t>
            </w:r>
          </w:p>
        </w:tc>
        <w:tc>
          <w:tcPr>
            <w:tcW w:w="1982" w:type="dxa"/>
            <w:vMerge/>
            <w:tcBorders>
              <w:top w:val="nil"/>
              <w:bottom w:val="nil"/>
            </w:tcBorders>
          </w:tcPr>
          <w:p w:rsidR="00911413" w:rsidRDefault="00911413">
            <w:pPr>
              <w:rPr>
                <w:sz w:val="2"/>
                <w:szCs w:val="2"/>
              </w:rPr>
            </w:pPr>
          </w:p>
        </w:tc>
      </w:tr>
      <w:tr w:rsidR="00911413">
        <w:trPr>
          <w:trHeight w:val="366"/>
        </w:trPr>
        <w:tc>
          <w:tcPr>
            <w:tcW w:w="1063" w:type="dxa"/>
            <w:vMerge/>
            <w:tcBorders>
              <w:top w:val="nil"/>
            </w:tcBorders>
          </w:tcPr>
          <w:p w:rsidR="00911413" w:rsidRDefault="00911413">
            <w:pPr>
              <w:rPr>
                <w:sz w:val="2"/>
                <w:szCs w:val="2"/>
              </w:rPr>
            </w:pPr>
          </w:p>
        </w:tc>
        <w:tc>
          <w:tcPr>
            <w:tcW w:w="1595" w:type="dxa"/>
            <w:vMerge/>
            <w:tcBorders>
              <w:top w:val="nil"/>
            </w:tcBorders>
          </w:tcPr>
          <w:p w:rsidR="00911413" w:rsidRDefault="00911413">
            <w:pPr>
              <w:rPr>
                <w:sz w:val="2"/>
                <w:szCs w:val="2"/>
              </w:rPr>
            </w:pPr>
          </w:p>
        </w:tc>
        <w:tc>
          <w:tcPr>
            <w:tcW w:w="13007" w:type="dxa"/>
            <w:gridSpan w:val="8"/>
            <w:tcBorders>
              <w:top w:val="nil"/>
            </w:tcBorders>
          </w:tcPr>
          <w:p w:rsidR="00911413" w:rsidRDefault="001D5997">
            <w:pPr>
              <w:pStyle w:val="TableParagraph"/>
              <w:spacing w:line="180" w:lineRule="exact"/>
              <w:ind w:left="32"/>
              <w:rPr>
                <w:sz w:val="16"/>
              </w:rPr>
            </w:pPr>
            <w:r>
              <w:rPr>
                <w:sz w:val="16"/>
              </w:rPr>
              <w:t>Pour chaque match réalisé, l’évolution du score (cas 1 à 6) détermine le nombre de points obtenus en fonction du niveau de jeu du candidat (A, B ou C). La note globale sur 5 résulte</w:t>
            </w:r>
          </w:p>
          <w:p w:rsidR="00911413" w:rsidRDefault="001D5997">
            <w:pPr>
              <w:pStyle w:val="TableParagraph"/>
              <w:spacing w:line="166" w:lineRule="exact"/>
              <w:ind w:left="32"/>
              <w:rPr>
                <w:sz w:val="16"/>
              </w:rPr>
            </w:pPr>
            <w:r>
              <w:rPr>
                <w:sz w:val="16"/>
              </w:rPr>
              <w:t>de la moyenne des notes ainsi obtenues.</w:t>
            </w:r>
          </w:p>
        </w:tc>
      </w:tr>
    </w:tbl>
    <w:p w:rsidR="00911413" w:rsidRDefault="00911413">
      <w:pPr>
        <w:spacing w:line="166" w:lineRule="exact"/>
        <w:rPr>
          <w:sz w:val="16"/>
        </w:rPr>
        <w:sectPr w:rsidR="00911413">
          <w:headerReference w:type="default" r:id="rId7"/>
          <w:footerReference w:type="default" r:id="rId8"/>
          <w:type w:val="continuous"/>
          <w:pgSz w:w="16840" w:h="11910" w:orient="landscape"/>
          <w:pgMar w:top="1400" w:right="460" w:bottom="920" w:left="480" w:header="170" w:footer="732" w:gutter="0"/>
          <w:cols w:space="720"/>
        </w:sectPr>
      </w:pPr>
    </w:p>
    <w:p w:rsidR="00911413" w:rsidRDefault="00911413">
      <w:pPr>
        <w:pStyle w:val="Corpsdetexte"/>
        <w:rPr>
          <w:rFonts w:ascii="Times New Roman"/>
        </w:rPr>
      </w:pPr>
    </w:p>
    <w:p w:rsidR="00911413" w:rsidRDefault="00911413">
      <w:pPr>
        <w:pStyle w:val="Corpsdetexte"/>
        <w:spacing w:before="8"/>
        <w:rPr>
          <w:rFonts w:ascii="Times New Roman"/>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425"/>
        <w:gridCol w:w="1416"/>
        <w:gridCol w:w="2998"/>
        <w:gridCol w:w="5103"/>
        <w:gridCol w:w="4659"/>
      </w:tblGrid>
      <w:tr w:rsidR="00911413">
        <w:trPr>
          <w:trHeight w:val="551"/>
        </w:trPr>
        <w:tc>
          <w:tcPr>
            <w:tcW w:w="1063" w:type="dxa"/>
            <w:vMerge w:val="restart"/>
          </w:tcPr>
          <w:p w:rsidR="00911413" w:rsidRDefault="00911413">
            <w:pPr>
              <w:pStyle w:val="TableParagraph"/>
              <w:rPr>
                <w:rFonts w:ascii="Times New Roman"/>
                <w:sz w:val="18"/>
              </w:rPr>
            </w:pPr>
          </w:p>
          <w:p w:rsidR="00911413" w:rsidRDefault="00911413">
            <w:pPr>
              <w:pStyle w:val="TableParagraph"/>
              <w:rPr>
                <w:rFonts w:ascii="Times New Roman"/>
                <w:sz w:val="18"/>
              </w:rPr>
            </w:pPr>
          </w:p>
          <w:p w:rsidR="00911413" w:rsidRDefault="00911413">
            <w:pPr>
              <w:pStyle w:val="TableParagraph"/>
              <w:rPr>
                <w:rFonts w:ascii="Times New Roman"/>
                <w:sz w:val="18"/>
              </w:rPr>
            </w:pPr>
          </w:p>
          <w:p w:rsidR="00911413" w:rsidRDefault="001D5997">
            <w:pPr>
              <w:pStyle w:val="TableParagraph"/>
              <w:spacing w:before="119"/>
              <w:ind w:left="223"/>
              <w:rPr>
                <w:b/>
                <w:sz w:val="16"/>
              </w:rPr>
            </w:pPr>
            <w:r>
              <w:rPr>
                <w:b/>
                <w:sz w:val="16"/>
              </w:rPr>
              <w:t>5 points</w:t>
            </w:r>
          </w:p>
        </w:tc>
        <w:tc>
          <w:tcPr>
            <w:tcW w:w="425" w:type="dxa"/>
            <w:vMerge w:val="restart"/>
            <w:textDirection w:val="btLr"/>
          </w:tcPr>
          <w:p w:rsidR="00911413" w:rsidRDefault="001D5997">
            <w:pPr>
              <w:pStyle w:val="TableParagraph"/>
              <w:spacing w:before="22" w:line="180" w:lineRule="atLeast"/>
              <w:ind w:left="330" w:right="292" w:firstLine="76"/>
              <w:rPr>
                <w:b/>
                <w:sz w:val="16"/>
              </w:rPr>
            </w:pPr>
            <w:r>
              <w:rPr>
                <w:b/>
                <w:sz w:val="16"/>
              </w:rPr>
              <w:t>G</w:t>
            </w:r>
            <w:r>
              <w:rPr>
                <w:b/>
                <w:spacing w:val="-1"/>
                <w:sz w:val="16"/>
              </w:rPr>
              <w:t>a</w:t>
            </w:r>
            <w:r>
              <w:rPr>
                <w:b/>
                <w:sz w:val="16"/>
              </w:rPr>
              <w:t>in</w:t>
            </w:r>
            <w:r>
              <w:rPr>
                <w:b/>
                <w:spacing w:val="-1"/>
                <w:sz w:val="16"/>
              </w:rPr>
              <w:t xml:space="preserve"> </w:t>
            </w:r>
            <w:r>
              <w:rPr>
                <w:b/>
                <w:sz w:val="16"/>
              </w:rPr>
              <w:t>des r</w:t>
            </w:r>
            <w:r>
              <w:rPr>
                <w:b/>
                <w:spacing w:val="-1"/>
                <w:sz w:val="16"/>
              </w:rPr>
              <w:t>e</w:t>
            </w:r>
            <w:r>
              <w:rPr>
                <w:b/>
                <w:sz w:val="16"/>
              </w:rPr>
              <w:t>ncon</w:t>
            </w:r>
            <w:r>
              <w:rPr>
                <w:b/>
                <w:spacing w:val="-1"/>
                <w:sz w:val="16"/>
              </w:rPr>
              <w:t>t</w:t>
            </w:r>
            <w:r>
              <w:rPr>
                <w:b/>
                <w:sz w:val="16"/>
              </w:rPr>
              <w:t>r</w:t>
            </w:r>
            <w:r>
              <w:rPr>
                <w:b/>
                <w:spacing w:val="-1"/>
                <w:sz w:val="16"/>
              </w:rPr>
              <w:t>e</w:t>
            </w:r>
            <w:r>
              <w:rPr>
                <w:b/>
                <w:sz w:val="16"/>
              </w:rPr>
              <w:t>s</w:t>
            </w:r>
          </w:p>
        </w:tc>
        <w:tc>
          <w:tcPr>
            <w:tcW w:w="1416" w:type="dxa"/>
            <w:vMerge w:val="restart"/>
          </w:tcPr>
          <w:p w:rsidR="00911413" w:rsidRDefault="00911413">
            <w:pPr>
              <w:pStyle w:val="TableParagraph"/>
              <w:spacing w:before="1"/>
              <w:rPr>
                <w:rFonts w:ascii="Times New Roman"/>
                <w:sz w:val="16"/>
              </w:rPr>
            </w:pPr>
          </w:p>
          <w:p w:rsidR="00911413" w:rsidRDefault="001D5997">
            <w:pPr>
              <w:pStyle w:val="TableParagraph"/>
              <w:ind w:left="88" w:right="80"/>
              <w:jc w:val="center"/>
              <w:rPr>
                <w:sz w:val="16"/>
              </w:rPr>
            </w:pPr>
            <w:r>
              <w:rPr>
                <w:sz w:val="16"/>
              </w:rPr>
              <w:t>Classement général par sexe: 3 pts</w:t>
            </w:r>
          </w:p>
        </w:tc>
        <w:tc>
          <w:tcPr>
            <w:tcW w:w="2998" w:type="dxa"/>
          </w:tcPr>
          <w:p w:rsidR="00911413" w:rsidRDefault="001D5997">
            <w:pPr>
              <w:pStyle w:val="TableParagraph"/>
              <w:spacing w:line="178" w:lineRule="exact"/>
              <w:ind w:left="1008"/>
              <w:rPr>
                <w:b/>
                <w:sz w:val="16"/>
              </w:rPr>
            </w:pPr>
            <w:r>
              <w:rPr>
                <w:b/>
                <w:sz w:val="16"/>
              </w:rPr>
              <w:t>de 0 pt à 1 pt</w:t>
            </w:r>
          </w:p>
          <w:p w:rsidR="00911413" w:rsidRDefault="001D5997">
            <w:pPr>
              <w:pStyle w:val="TableParagraph"/>
              <w:spacing w:before="7" w:line="182" w:lineRule="exact"/>
              <w:ind w:left="69" w:right="21"/>
              <w:rPr>
                <w:sz w:val="16"/>
              </w:rPr>
            </w:pPr>
            <w:r>
              <w:rPr>
                <w:sz w:val="16"/>
              </w:rPr>
              <w:t>Les élèves classés en bas du tableau des filles ou du tableau des garçons</w:t>
            </w:r>
          </w:p>
        </w:tc>
        <w:tc>
          <w:tcPr>
            <w:tcW w:w="5103" w:type="dxa"/>
          </w:tcPr>
          <w:p w:rsidR="00911413" w:rsidRDefault="001D5997">
            <w:pPr>
              <w:pStyle w:val="TableParagraph"/>
              <w:spacing w:line="178" w:lineRule="exact"/>
              <w:ind w:left="1906"/>
              <w:rPr>
                <w:b/>
                <w:sz w:val="16"/>
              </w:rPr>
            </w:pPr>
            <w:r>
              <w:rPr>
                <w:b/>
                <w:sz w:val="16"/>
              </w:rPr>
              <w:t>de 1,25 pt à 2 pts</w:t>
            </w:r>
          </w:p>
          <w:p w:rsidR="00911413" w:rsidRDefault="001D5997">
            <w:pPr>
              <w:pStyle w:val="TableParagraph"/>
              <w:spacing w:before="7" w:line="182" w:lineRule="exact"/>
              <w:ind w:left="70"/>
              <w:rPr>
                <w:sz w:val="16"/>
              </w:rPr>
            </w:pPr>
            <w:r>
              <w:rPr>
                <w:sz w:val="16"/>
              </w:rPr>
              <w:t>Les élèves classés en milieu du tableau des filles ou du tableau des garçons</w:t>
            </w:r>
          </w:p>
        </w:tc>
        <w:tc>
          <w:tcPr>
            <w:tcW w:w="4659" w:type="dxa"/>
          </w:tcPr>
          <w:p w:rsidR="00911413" w:rsidRDefault="001D5997">
            <w:pPr>
              <w:pStyle w:val="TableParagraph"/>
              <w:spacing w:line="178" w:lineRule="exact"/>
              <w:ind w:left="1781"/>
              <w:rPr>
                <w:b/>
                <w:sz w:val="16"/>
              </w:rPr>
            </w:pPr>
            <w:r>
              <w:rPr>
                <w:b/>
                <w:sz w:val="16"/>
              </w:rPr>
              <w:t>de 2,25 à 3 pts</w:t>
            </w:r>
          </w:p>
          <w:p w:rsidR="00911413" w:rsidRDefault="001D5997">
            <w:pPr>
              <w:pStyle w:val="TableParagraph"/>
              <w:spacing w:before="7" w:line="182" w:lineRule="exact"/>
              <w:ind w:left="69"/>
              <w:rPr>
                <w:sz w:val="16"/>
              </w:rPr>
            </w:pPr>
            <w:r>
              <w:rPr>
                <w:sz w:val="16"/>
              </w:rPr>
              <w:t>Les élèves classés en haut du tableau des filles ou du tableau des garçons</w:t>
            </w:r>
          </w:p>
        </w:tc>
      </w:tr>
      <w:tr w:rsidR="00911413">
        <w:trPr>
          <w:trHeight w:val="366"/>
        </w:trPr>
        <w:tc>
          <w:tcPr>
            <w:tcW w:w="1063" w:type="dxa"/>
            <w:vMerge/>
            <w:tcBorders>
              <w:top w:val="nil"/>
            </w:tcBorders>
          </w:tcPr>
          <w:p w:rsidR="00911413" w:rsidRDefault="00911413">
            <w:pPr>
              <w:rPr>
                <w:sz w:val="2"/>
                <w:szCs w:val="2"/>
              </w:rPr>
            </w:pPr>
          </w:p>
        </w:tc>
        <w:tc>
          <w:tcPr>
            <w:tcW w:w="425" w:type="dxa"/>
            <w:vMerge/>
            <w:tcBorders>
              <w:top w:val="nil"/>
            </w:tcBorders>
            <w:textDirection w:val="btLr"/>
          </w:tcPr>
          <w:p w:rsidR="00911413" w:rsidRDefault="00911413">
            <w:pPr>
              <w:rPr>
                <w:sz w:val="2"/>
                <w:szCs w:val="2"/>
              </w:rPr>
            </w:pPr>
          </w:p>
        </w:tc>
        <w:tc>
          <w:tcPr>
            <w:tcW w:w="1416" w:type="dxa"/>
            <w:vMerge/>
            <w:tcBorders>
              <w:top w:val="nil"/>
            </w:tcBorders>
          </w:tcPr>
          <w:p w:rsidR="00911413" w:rsidRDefault="00911413">
            <w:pPr>
              <w:rPr>
                <w:sz w:val="2"/>
                <w:szCs w:val="2"/>
              </w:rPr>
            </w:pPr>
          </w:p>
        </w:tc>
        <w:tc>
          <w:tcPr>
            <w:tcW w:w="12760" w:type="dxa"/>
            <w:gridSpan w:val="3"/>
          </w:tcPr>
          <w:p w:rsidR="00911413" w:rsidRDefault="001D5997">
            <w:pPr>
              <w:pStyle w:val="TableParagraph"/>
              <w:spacing w:line="180" w:lineRule="exact"/>
              <w:ind w:left="69"/>
              <w:rPr>
                <w:sz w:val="16"/>
              </w:rPr>
            </w:pPr>
            <w:r>
              <w:rPr>
                <w:sz w:val="16"/>
              </w:rPr>
              <w:t>Tout candidat peut obtenir le maximum ou le minimum de points en fonction de sa place au classement général, observé sur un effectif significatif (qui peut éventuellement</w:t>
            </w:r>
          </w:p>
          <w:p w:rsidR="00911413" w:rsidRDefault="001D5997">
            <w:pPr>
              <w:pStyle w:val="TableParagraph"/>
              <w:spacing w:before="1" w:line="166" w:lineRule="exact"/>
              <w:ind w:left="69"/>
              <w:rPr>
                <w:sz w:val="16"/>
              </w:rPr>
            </w:pPr>
            <w:r>
              <w:rPr>
                <w:sz w:val="16"/>
              </w:rPr>
              <w:t>dépasser le groupe classe). Même si les rencontres peuvent être mixtes, les classemen</w:t>
            </w:r>
            <w:r>
              <w:rPr>
                <w:sz w:val="16"/>
              </w:rPr>
              <w:t>ts des filles et les garçons sont séparés et indépendants.</w:t>
            </w:r>
          </w:p>
        </w:tc>
      </w:tr>
      <w:tr w:rsidR="00911413">
        <w:trPr>
          <w:trHeight w:val="553"/>
        </w:trPr>
        <w:tc>
          <w:tcPr>
            <w:tcW w:w="1063" w:type="dxa"/>
            <w:vMerge/>
            <w:tcBorders>
              <w:top w:val="nil"/>
            </w:tcBorders>
          </w:tcPr>
          <w:p w:rsidR="00911413" w:rsidRDefault="00911413">
            <w:pPr>
              <w:rPr>
                <w:sz w:val="2"/>
                <w:szCs w:val="2"/>
              </w:rPr>
            </w:pPr>
          </w:p>
        </w:tc>
        <w:tc>
          <w:tcPr>
            <w:tcW w:w="425" w:type="dxa"/>
            <w:vMerge/>
            <w:tcBorders>
              <w:top w:val="nil"/>
            </w:tcBorders>
            <w:textDirection w:val="btLr"/>
          </w:tcPr>
          <w:p w:rsidR="00911413" w:rsidRDefault="00911413">
            <w:pPr>
              <w:rPr>
                <w:sz w:val="2"/>
                <w:szCs w:val="2"/>
              </w:rPr>
            </w:pPr>
          </w:p>
        </w:tc>
        <w:tc>
          <w:tcPr>
            <w:tcW w:w="1416" w:type="dxa"/>
          </w:tcPr>
          <w:p w:rsidR="00911413" w:rsidRDefault="001D5997">
            <w:pPr>
              <w:pStyle w:val="TableParagraph"/>
              <w:ind w:left="163" w:right="153" w:firstLine="2"/>
              <w:jc w:val="center"/>
              <w:rPr>
                <w:sz w:val="16"/>
              </w:rPr>
            </w:pPr>
            <w:r>
              <w:rPr>
                <w:sz w:val="16"/>
              </w:rPr>
              <w:t>Classement au sein de chaque</w:t>
            </w:r>
          </w:p>
          <w:p w:rsidR="00911413" w:rsidRDefault="001D5997">
            <w:pPr>
              <w:pStyle w:val="TableParagraph"/>
              <w:spacing w:before="2" w:line="168" w:lineRule="exact"/>
              <w:ind w:left="88" w:right="80"/>
              <w:jc w:val="center"/>
              <w:rPr>
                <w:sz w:val="16"/>
              </w:rPr>
            </w:pPr>
            <w:r>
              <w:rPr>
                <w:sz w:val="16"/>
              </w:rPr>
              <w:t>poule : 2pts</w:t>
            </w:r>
          </w:p>
        </w:tc>
        <w:tc>
          <w:tcPr>
            <w:tcW w:w="12760" w:type="dxa"/>
            <w:gridSpan w:val="3"/>
          </w:tcPr>
          <w:p w:rsidR="00911413" w:rsidRDefault="00911413">
            <w:pPr>
              <w:pStyle w:val="TableParagraph"/>
              <w:spacing w:before="8"/>
              <w:rPr>
                <w:rFonts w:ascii="Times New Roman"/>
                <w:sz w:val="15"/>
              </w:rPr>
            </w:pPr>
          </w:p>
          <w:p w:rsidR="00911413" w:rsidRDefault="001D5997">
            <w:pPr>
              <w:pStyle w:val="TableParagraph"/>
              <w:ind w:left="1267"/>
              <w:rPr>
                <w:sz w:val="16"/>
              </w:rPr>
            </w:pPr>
            <w:r>
              <w:rPr>
                <w:sz w:val="16"/>
              </w:rPr>
              <w:t>Chaque candidat obtient entre 0 et 2 points en fonction de son classement dans la poule (mixte ou non), indépendamment de son niveau de jeu.</w:t>
            </w:r>
          </w:p>
        </w:tc>
      </w:tr>
    </w:tbl>
    <w:p w:rsidR="001D5997" w:rsidRDefault="001D5997"/>
    <w:sectPr w:rsidR="001D5997">
      <w:pgSz w:w="16840" w:h="11910" w:orient="landscape"/>
      <w:pgMar w:top="1400" w:right="460" w:bottom="920" w:left="48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97" w:rsidRDefault="001D5997">
      <w:r>
        <w:separator/>
      </w:r>
    </w:p>
  </w:endnote>
  <w:endnote w:type="continuationSeparator" w:id="0">
    <w:p w:rsidR="001D5997" w:rsidRDefault="001D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13" w:rsidRDefault="006C70AF">
    <w:pPr>
      <w:pStyle w:val="Corpsdetexte"/>
      <w:spacing w:line="14" w:lineRule="auto"/>
    </w:pPr>
    <w:r>
      <w:rPr>
        <w:noProof/>
        <w:lang w:eastAsia="fr-FR"/>
      </w:rPr>
      <mc:AlternateContent>
        <mc:Choice Requires="wps">
          <w:drawing>
            <wp:anchor distT="0" distB="0" distL="114300" distR="114300" simplePos="0" relativeHeight="503304872"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13" w:rsidRDefault="001D5997">
                          <w:pPr>
                            <w:pStyle w:val="Corpsdetexte"/>
                            <w:spacing w:before="12"/>
                            <w:ind w:left="20"/>
                          </w:pPr>
                          <w:r>
                            <w:t xml:space="preserve">© Ministère de l'éducation nationale &gt; </w:t>
                          </w:r>
                          <w:hyperlink r:id="rId1">
                            <w: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911413" w:rsidRDefault="001D5997">
                    <w:pPr>
                      <w:pStyle w:val="Corpsdetexte"/>
                      <w:spacing w:before="12"/>
                      <w:ind w:left="20"/>
                    </w:pPr>
                    <w:r>
                      <w:t xml:space="preserve">© Ministère de l'éducation nationale &gt; </w:t>
                    </w:r>
                    <w:hyperlink r:id="rId2">
                      <w: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97" w:rsidRDefault="001D5997">
      <w:r>
        <w:separator/>
      </w:r>
    </w:p>
  </w:footnote>
  <w:footnote w:type="continuationSeparator" w:id="0">
    <w:p w:rsidR="001D5997" w:rsidRDefault="001D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13" w:rsidRDefault="001D5997">
    <w:pPr>
      <w:pStyle w:val="Corpsdetexte"/>
      <w:spacing w:line="14" w:lineRule="auto"/>
    </w:pPr>
    <w:r>
      <w:rPr>
        <w:noProof/>
        <w:lang w:eastAsia="fr-FR"/>
      </w:rPr>
      <w:drawing>
        <wp:anchor distT="0" distB="0" distL="0" distR="0" simplePos="0" relativeHeight="268423775"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6C70AF">
      <w:rPr>
        <w:noProof/>
        <w:lang w:eastAsia="fr-FR"/>
      </w:rPr>
      <mc:AlternateContent>
        <mc:Choice Requires="wps">
          <w:drawing>
            <wp:anchor distT="0" distB="0" distL="114300" distR="114300" simplePos="0" relativeHeight="503304824"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FECA" id="Line 3" o:spid="_x0000_s1026" style="position:absolute;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6C70AF">
      <w:rPr>
        <w:noProof/>
        <w:lang w:eastAsia="fr-FR"/>
      </w:rPr>
      <mc:AlternateContent>
        <mc:Choice Requires="wps">
          <w:drawing>
            <wp:anchor distT="0" distB="0" distL="114300" distR="114300" simplePos="0" relativeHeight="503304848"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13" w:rsidRDefault="001D5997">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911413" w:rsidRDefault="001D5997">
                    <w:pPr>
                      <w:pStyle w:val="Corpsdetexte"/>
                      <w:spacing w:before="12"/>
                      <w:ind w:left="20"/>
                    </w:pPr>
                    <w: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3E0A"/>
    <w:multiLevelType w:val="hybridMultilevel"/>
    <w:tmpl w:val="9DA8A7BE"/>
    <w:lvl w:ilvl="0" w:tplc="ADAE7018">
      <w:start w:val="1"/>
      <w:numFmt w:val="decimal"/>
      <w:lvlText w:val="(%1)"/>
      <w:lvlJc w:val="left"/>
      <w:pPr>
        <w:ind w:left="32" w:hanging="240"/>
        <w:jc w:val="left"/>
      </w:pPr>
      <w:rPr>
        <w:rFonts w:ascii="Arial" w:eastAsia="Arial" w:hAnsi="Arial" w:cs="Arial" w:hint="default"/>
        <w:spacing w:val="-1"/>
        <w:w w:val="100"/>
        <w:sz w:val="16"/>
        <w:szCs w:val="16"/>
      </w:rPr>
    </w:lvl>
    <w:lvl w:ilvl="1" w:tplc="D2AEE714">
      <w:numFmt w:val="bullet"/>
      <w:lvlText w:val="•"/>
      <w:lvlJc w:val="left"/>
      <w:pPr>
        <w:ind w:left="1335" w:hanging="240"/>
      </w:pPr>
      <w:rPr>
        <w:rFonts w:hint="default"/>
      </w:rPr>
    </w:lvl>
    <w:lvl w:ilvl="2" w:tplc="8B5CDB48">
      <w:numFmt w:val="bullet"/>
      <w:lvlText w:val="•"/>
      <w:lvlJc w:val="left"/>
      <w:pPr>
        <w:ind w:left="2631" w:hanging="240"/>
      </w:pPr>
      <w:rPr>
        <w:rFonts w:hint="default"/>
      </w:rPr>
    </w:lvl>
    <w:lvl w:ilvl="3" w:tplc="F0BAB334">
      <w:numFmt w:val="bullet"/>
      <w:lvlText w:val="•"/>
      <w:lvlJc w:val="left"/>
      <w:pPr>
        <w:ind w:left="3927" w:hanging="240"/>
      </w:pPr>
      <w:rPr>
        <w:rFonts w:hint="default"/>
      </w:rPr>
    </w:lvl>
    <w:lvl w:ilvl="4" w:tplc="55308F48">
      <w:numFmt w:val="bullet"/>
      <w:lvlText w:val="•"/>
      <w:lvlJc w:val="left"/>
      <w:pPr>
        <w:ind w:left="5222" w:hanging="240"/>
      </w:pPr>
      <w:rPr>
        <w:rFonts w:hint="default"/>
      </w:rPr>
    </w:lvl>
    <w:lvl w:ilvl="5" w:tplc="636468EE">
      <w:numFmt w:val="bullet"/>
      <w:lvlText w:val="•"/>
      <w:lvlJc w:val="left"/>
      <w:pPr>
        <w:ind w:left="6518" w:hanging="240"/>
      </w:pPr>
      <w:rPr>
        <w:rFonts w:hint="default"/>
      </w:rPr>
    </w:lvl>
    <w:lvl w:ilvl="6" w:tplc="E01089C8">
      <w:numFmt w:val="bullet"/>
      <w:lvlText w:val="•"/>
      <w:lvlJc w:val="left"/>
      <w:pPr>
        <w:ind w:left="7814" w:hanging="240"/>
      </w:pPr>
      <w:rPr>
        <w:rFonts w:hint="default"/>
      </w:rPr>
    </w:lvl>
    <w:lvl w:ilvl="7" w:tplc="630C3D6E">
      <w:numFmt w:val="bullet"/>
      <w:lvlText w:val="•"/>
      <w:lvlJc w:val="left"/>
      <w:pPr>
        <w:ind w:left="9109" w:hanging="240"/>
      </w:pPr>
      <w:rPr>
        <w:rFonts w:hint="default"/>
      </w:rPr>
    </w:lvl>
    <w:lvl w:ilvl="8" w:tplc="F0940E32">
      <w:numFmt w:val="bullet"/>
      <w:lvlText w:val="•"/>
      <w:lvlJc w:val="left"/>
      <w:pPr>
        <w:ind w:left="10405"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13"/>
    <w:rsid w:val="001D5997"/>
    <w:rsid w:val="006C70AF"/>
    <w:rsid w:val="00911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6D958-2B6B-4CAB-AB24-6E5C4BB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2018-03-06T21:14:00Z</dcterms:created>
  <dcterms:modified xsi:type="dcterms:W3CDTF">2018-03-06T21:14:00Z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