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F8" w:rsidRDefault="009D2AF8" w:rsidP="009D2AF8">
      <w:pPr>
        <w:jc w:val="center"/>
        <w:rPr>
          <w:rFonts w:ascii="Arial" w:hAnsi="Arial" w:cs="Arial"/>
          <w:color w:val="000000"/>
          <w:sz w:val="40"/>
          <w:szCs w:val="40"/>
        </w:rPr>
      </w:pPr>
      <w:r w:rsidRPr="00C3306A">
        <w:rPr>
          <w:noProof/>
          <w:lang w:eastAsia="fr-FR"/>
        </w:rPr>
        <w:pict>
          <v:rect id="_x0000_s1028" style="position:absolute;left:0;text-align:left;margin-left:28.25pt;margin-top:-16.65pt;width:401.35pt;height:86.25pt;z-index:251662336" filled="f"/>
        </w:pict>
      </w:r>
      <w:r w:rsidRPr="00C3306A">
        <w:rPr>
          <w:noProof/>
          <w:lang w:eastAsia="fr-FR"/>
        </w:rPr>
        <w:pict>
          <v:rect id="_x0000_s1029" style="position:absolute;left:0;text-align:left;margin-left:-33.3pt;margin-top:-47.35pt;width:520.4pt;height:782.05pt;z-index:251663360" filled="f"/>
        </w:pict>
      </w:r>
      <w:r w:rsidRPr="00723A6C">
        <w:rPr>
          <w:rFonts w:ascii="Arial" w:hAnsi="Arial" w:cs="Arial"/>
          <w:color w:val="000000"/>
          <w:sz w:val="40"/>
          <w:szCs w:val="40"/>
        </w:rPr>
        <w:t>Réseaux et branchements basse tension souterrains en lotissement</w:t>
      </w:r>
    </w:p>
    <w:p w:rsidR="009D2AF8" w:rsidRPr="00723A6C" w:rsidRDefault="009D2AF8" w:rsidP="009D2AF8">
      <w:pPr>
        <w:jc w:val="center"/>
        <w:rPr>
          <w:rFonts w:ascii="Arial" w:hAnsi="Arial" w:cs="Arial"/>
          <w:color w:val="000000"/>
          <w:sz w:val="18"/>
          <w:szCs w:val="18"/>
        </w:rPr>
      </w:pPr>
    </w:p>
    <w:p w:rsidR="009D2AF8" w:rsidRPr="00723A6C" w:rsidRDefault="009D2AF8" w:rsidP="009D2AF8">
      <w:pPr>
        <w:rPr>
          <w:rFonts w:ascii="Arial" w:hAnsi="Arial" w:cs="Arial"/>
          <w:color w:val="FF00FF"/>
          <w:sz w:val="18"/>
          <w:szCs w:val="18"/>
        </w:rPr>
      </w:pPr>
      <w:r w:rsidRPr="00723A6C">
        <w:rPr>
          <w:rFonts w:ascii="Arial" w:hAnsi="Arial" w:cs="Arial"/>
          <w:color w:val="FF00FF"/>
          <w:sz w:val="18"/>
          <w:szCs w:val="18"/>
        </w:rPr>
        <w:t xml:space="preserve">Le présent document ne se substitue pas aux normes et règles en vigueur.  </w:t>
      </w:r>
    </w:p>
    <w:p w:rsidR="009D2AF8" w:rsidRPr="00723A6C" w:rsidRDefault="009D2AF8" w:rsidP="009D2AF8">
      <w:pPr>
        <w:rPr>
          <w:rFonts w:ascii="Arial" w:hAnsi="Arial" w:cs="Arial"/>
          <w:color w:val="000000"/>
          <w:sz w:val="18"/>
          <w:szCs w:val="18"/>
        </w:rPr>
      </w:pPr>
      <w:r w:rsidRPr="00723A6C">
        <w:rPr>
          <w:rFonts w:ascii="Arial" w:hAnsi="Arial" w:cs="Arial"/>
          <w:color w:val="000000"/>
          <w:sz w:val="18"/>
          <w:szCs w:val="18"/>
        </w:rPr>
        <w:t xml:space="preserve">Ce guide présente les techniques et matériels à utiliser pour la conception et la réalisation des réseaux et des branchements individuels à puissance limitée en lotissement en conformité avec le référentiel ERDF. Les destinataires du guide sont :  </w:t>
      </w:r>
    </w:p>
    <w:p w:rsidR="009D2AF8" w:rsidRPr="00723A6C" w:rsidRDefault="009D2AF8" w:rsidP="009D2AF8">
      <w:pPr>
        <w:jc w:val="both"/>
        <w:rPr>
          <w:rFonts w:ascii="Arial" w:hAnsi="Arial" w:cs="Arial"/>
          <w:color w:val="000000"/>
          <w:sz w:val="18"/>
          <w:szCs w:val="18"/>
        </w:rPr>
      </w:pPr>
      <w:r w:rsidRPr="00723A6C">
        <w:rPr>
          <w:rFonts w:ascii="Arial" w:hAnsi="Arial" w:cs="Arial"/>
          <w:color w:val="000000"/>
          <w:sz w:val="18"/>
          <w:szCs w:val="18"/>
        </w:rPr>
        <w:t xml:space="preserve">- les Maîtres d'Ouvrage de Décision (MOAD) : sur le choix du type de raccordement (dérivation sur réseau existant, direct d'un poste HTA/BT existant ou nouveau) ; </w:t>
      </w:r>
    </w:p>
    <w:p w:rsidR="009D2AF8" w:rsidRPr="00723A6C" w:rsidRDefault="009D2AF8" w:rsidP="009D2AF8">
      <w:pPr>
        <w:jc w:val="both"/>
        <w:rPr>
          <w:rFonts w:ascii="Arial" w:hAnsi="Arial" w:cs="Arial"/>
          <w:color w:val="000000"/>
          <w:sz w:val="18"/>
          <w:szCs w:val="18"/>
        </w:rPr>
      </w:pPr>
      <w:r w:rsidRPr="00723A6C">
        <w:rPr>
          <w:rFonts w:ascii="Arial" w:hAnsi="Arial" w:cs="Arial"/>
          <w:color w:val="000000"/>
          <w:sz w:val="18"/>
          <w:szCs w:val="18"/>
        </w:rPr>
        <w:t xml:space="preserve">- les Maîtres d'Ouvrage de Réalisation (MOAR) :   </w:t>
      </w:r>
    </w:p>
    <w:p w:rsidR="009D2AF8" w:rsidRDefault="009D2AF8" w:rsidP="009D2AF8">
      <w:pPr>
        <w:ind w:left="708"/>
        <w:rPr>
          <w:rFonts w:ascii="Arial" w:hAnsi="Arial" w:cs="Arial"/>
          <w:color w:val="000000"/>
          <w:sz w:val="18"/>
          <w:szCs w:val="18"/>
        </w:rPr>
      </w:pPr>
      <w:r w:rsidRPr="00723A6C">
        <w:rPr>
          <w:rFonts w:ascii="Arial" w:hAnsi="Arial" w:cs="Arial"/>
          <w:color w:val="000000"/>
          <w:sz w:val="18"/>
          <w:szCs w:val="18"/>
        </w:rPr>
        <w:t>• appui aux chargés d’affaires pour la commande de matériels et le contrôle de la réalisation,</w:t>
      </w:r>
    </w:p>
    <w:p w:rsidR="009D2AF8" w:rsidRDefault="009D2AF8" w:rsidP="009D2AF8">
      <w:pPr>
        <w:ind w:left="708"/>
        <w:rPr>
          <w:rFonts w:ascii="Arial" w:hAnsi="Arial" w:cs="Arial"/>
          <w:color w:val="000000"/>
          <w:sz w:val="18"/>
          <w:szCs w:val="18"/>
        </w:rPr>
      </w:pPr>
      <w:r w:rsidRPr="00723A6C">
        <w:rPr>
          <w:rFonts w:ascii="Arial" w:hAnsi="Arial" w:cs="Arial"/>
          <w:color w:val="000000"/>
          <w:sz w:val="18"/>
          <w:szCs w:val="18"/>
        </w:rPr>
        <w:t xml:space="preserve"> • règles aux entreprises qui réalisent des travaux pour le gestionnaire du réseau de distribution ;</w:t>
      </w:r>
    </w:p>
    <w:p w:rsidR="009D2AF8" w:rsidRPr="00723A6C" w:rsidRDefault="009D2AF8" w:rsidP="009D2AF8">
      <w:pPr>
        <w:rPr>
          <w:rFonts w:ascii="Arial" w:hAnsi="Arial" w:cs="Arial"/>
          <w:color w:val="000000"/>
          <w:sz w:val="18"/>
          <w:szCs w:val="18"/>
        </w:rPr>
      </w:pPr>
      <w:r w:rsidRPr="00723A6C">
        <w:rPr>
          <w:rFonts w:ascii="Arial" w:hAnsi="Arial" w:cs="Arial"/>
          <w:color w:val="000000"/>
          <w:sz w:val="18"/>
          <w:szCs w:val="18"/>
        </w:rPr>
        <w:t xml:space="preserve"> - les bureaux d'études ; </w:t>
      </w:r>
    </w:p>
    <w:p w:rsidR="009D2AF8" w:rsidRPr="00723A6C" w:rsidRDefault="009D2AF8" w:rsidP="009D2AF8">
      <w:pPr>
        <w:jc w:val="both"/>
        <w:rPr>
          <w:rFonts w:ascii="Arial" w:hAnsi="Arial" w:cs="Arial"/>
          <w:color w:val="000000"/>
          <w:sz w:val="18"/>
          <w:szCs w:val="18"/>
        </w:rPr>
      </w:pPr>
      <w:r w:rsidRPr="00723A6C">
        <w:rPr>
          <w:rFonts w:ascii="Arial" w:hAnsi="Arial" w:cs="Arial"/>
          <w:color w:val="000000"/>
          <w:sz w:val="18"/>
          <w:szCs w:val="18"/>
        </w:rPr>
        <w:t xml:space="preserve">- les lotisseurs qui assurent l’assistance à maîtrise d’ouvrage pour les ouvrages basse tension intérieurs au lotissement, au nom et pour le compte d’ERDF.  Ils doivent à ce titre respecter la convention passée avec ERDF et son CCTP qui fait référence à ce guide pratique. </w:t>
      </w:r>
    </w:p>
    <w:p w:rsidR="009D2AF8" w:rsidRPr="00723A6C" w:rsidRDefault="009D2AF8" w:rsidP="009D2AF8">
      <w:pPr>
        <w:jc w:val="both"/>
        <w:rPr>
          <w:rFonts w:ascii="Arial" w:hAnsi="Arial" w:cs="Arial"/>
          <w:color w:val="000000"/>
          <w:sz w:val="18"/>
          <w:szCs w:val="18"/>
        </w:rPr>
      </w:pPr>
      <w:r w:rsidRPr="00723A6C">
        <w:rPr>
          <w:rFonts w:ascii="Arial" w:hAnsi="Arial" w:cs="Arial"/>
          <w:color w:val="000000"/>
          <w:sz w:val="18"/>
          <w:szCs w:val="18"/>
        </w:rPr>
        <w:t xml:space="preserve">La demande de raccordement (remise de l’Avant Projet Sommaire par le lotisseur) n'est pas traitée dans le </w:t>
      </w:r>
      <w:r>
        <w:rPr>
          <w:rFonts w:ascii="Arial" w:hAnsi="Arial" w:cs="Arial"/>
          <w:noProof/>
          <w:color w:val="000000"/>
          <w:sz w:val="18"/>
          <w:szCs w:val="18"/>
          <w:lang w:eastAsia="fr-FR"/>
        </w:rPr>
        <w:drawing>
          <wp:anchor distT="0" distB="0" distL="114300" distR="114300" simplePos="0" relativeHeight="251660288" behindDoc="1" locked="0" layoutInCell="1" allowOverlap="1">
            <wp:simplePos x="0" y="0"/>
            <wp:positionH relativeFrom="column">
              <wp:posOffset>2875280</wp:posOffset>
            </wp:positionH>
            <wp:positionV relativeFrom="paragraph">
              <wp:posOffset>506730</wp:posOffset>
            </wp:positionV>
            <wp:extent cx="2740660" cy="3231515"/>
            <wp:effectExtent l="19050" t="0" r="2540" b="0"/>
            <wp:wrapTight wrapText="bothSides">
              <wp:wrapPolygon edited="0">
                <wp:start x="-150" y="0"/>
                <wp:lineTo x="-150" y="21519"/>
                <wp:lineTo x="21620" y="21519"/>
                <wp:lineTo x="21620" y="0"/>
                <wp:lineTo x="-150" y="0"/>
              </wp:wrapPolygon>
            </wp:wrapTight>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2740660" cy="3231515"/>
                    </a:xfrm>
                    <a:prstGeom prst="rect">
                      <a:avLst/>
                    </a:prstGeom>
                    <a:noFill/>
                    <a:ln w="9525">
                      <a:noFill/>
                      <a:miter lim="800000"/>
                      <a:headEnd/>
                      <a:tailEnd/>
                    </a:ln>
                  </pic:spPr>
                </pic:pic>
              </a:graphicData>
            </a:graphic>
          </wp:anchor>
        </w:drawing>
      </w:r>
      <w:r w:rsidRPr="00723A6C">
        <w:rPr>
          <w:rFonts w:ascii="Arial" w:hAnsi="Arial" w:cs="Arial"/>
          <w:color w:val="000000"/>
          <w:sz w:val="18"/>
          <w:szCs w:val="18"/>
        </w:rPr>
        <w:t xml:space="preserve">présent guide. </w:t>
      </w:r>
    </w:p>
    <w:p w:rsidR="009D2AF8" w:rsidRPr="00723A6C" w:rsidRDefault="009D2AF8" w:rsidP="009D2AF8">
      <w:pPr>
        <w:spacing w:line="240" w:lineRule="auto"/>
        <w:jc w:val="both"/>
        <w:rPr>
          <w:rFonts w:ascii="Arial" w:hAnsi="Arial" w:cs="Arial"/>
          <w:color w:val="000000"/>
          <w:sz w:val="18"/>
        </w:rPr>
      </w:pPr>
      <w:r w:rsidRPr="00723A6C">
        <w:rPr>
          <w:rFonts w:ascii="Arial" w:hAnsi="Arial" w:cs="Arial"/>
          <w:color w:val="000000"/>
          <w:sz w:val="18"/>
        </w:rPr>
        <w:t xml:space="preserve">Les codes constitués de sept chiffres successifs notés de la façon suivante "xx xx xxx" correspondent aux numéros d’articles des matériels ERDF. </w:t>
      </w:r>
    </w:p>
    <w:p w:rsidR="009D2AF8" w:rsidRDefault="009D2AF8" w:rsidP="009D2AF8">
      <w:pPr>
        <w:jc w:val="both"/>
      </w:pPr>
      <w:r>
        <w:t xml:space="preserve"> </w:t>
      </w:r>
      <w:r w:rsidRPr="00F07E6C">
        <w:rPr>
          <w:rFonts w:ascii="Helvetica-Bol" w:hAnsi="Helvetica-Bol"/>
          <w:color w:val="000000"/>
        </w:rPr>
        <w:t xml:space="preserve">Règlementation </w:t>
      </w:r>
      <w:r>
        <w:t xml:space="preserve"> </w:t>
      </w:r>
    </w:p>
    <w:p w:rsidR="009D2AF8" w:rsidRDefault="009D2AF8" w:rsidP="009D2AF8">
      <w:pPr>
        <w:jc w:val="both"/>
        <w:rPr>
          <w:rFonts w:ascii="Arial" w:hAnsi="Arial" w:cs="Arial"/>
          <w:color w:val="000000"/>
          <w:sz w:val="18"/>
        </w:rPr>
      </w:pPr>
      <w:r w:rsidRPr="00723A6C">
        <w:rPr>
          <w:rFonts w:ascii="Arial" w:hAnsi="Arial" w:cs="Arial"/>
          <w:color w:val="000000"/>
          <w:sz w:val="18"/>
        </w:rPr>
        <w:t>La réalisation des réseaux et des branchements souterrains est soumise à</w:t>
      </w:r>
      <w:r>
        <w:rPr>
          <w:rFonts w:ascii="Arial" w:hAnsi="Arial" w:cs="Arial"/>
          <w:color w:val="000000"/>
          <w:sz w:val="18"/>
        </w:rPr>
        <w:t xml:space="preserve"> </w:t>
      </w:r>
      <w:r w:rsidRPr="00723A6C">
        <w:rPr>
          <w:rFonts w:ascii="Arial" w:hAnsi="Arial" w:cs="Arial"/>
          <w:color w:val="000000"/>
          <w:sz w:val="18"/>
        </w:rPr>
        <w:t xml:space="preserve">de nombreux textes réglementaires fixant en particulier les conditions de pose, les couvertures minimales des câbles, les distances entre les différents réseaux des concessionnaires (voir annexe 1). </w:t>
      </w:r>
    </w:p>
    <w:p w:rsidR="009D2AF8" w:rsidRDefault="009D2AF8" w:rsidP="009D2AF8">
      <w:pPr>
        <w:jc w:val="both"/>
        <w:rPr>
          <w:rFonts w:ascii="Arial" w:hAnsi="Arial" w:cs="Arial"/>
          <w:color w:val="000000"/>
          <w:sz w:val="18"/>
        </w:rPr>
      </w:pPr>
      <w:r w:rsidRPr="00723A6C">
        <w:rPr>
          <w:rFonts w:ascii="Arial" w:hAnsi="Arial" w:cs="Arial"/>
          <w:color w:val="000000"/>
          <w:sz w:val="18"/>
        </w:rPr>
        <w:t>Les documents réglementaires et/ou normatifs sont sujets à révision et les utilisateurs du présent document sont invités à appliquer les arrêtés, textes et normes en vigueur au moment de la conception du projet.</w:t>
      </w:r>
    </w:p>
    <w:p w:rsidR="009D2AF8" w:rsidRDefault="009D2AF8" w:rsidP="009D2AF8">
      <w:pPr>
        <w:jc w:val="both"/>
        <w:rPr>
          <w:rFonts w:ascii="Arial" w:hAnsi="Arial" w:cs="Arial"/>
          <w:color w:val="000000"/>
          <w:sz w:val="18"/>
        </w:rPr>
      </w:pPr>
      <w:r w:rsidRPr="00723A6C">
        <w:rPr>
          <w:rFonts w:ascii="Arial" w:hAnsi="Arial" w:cs="Arial"/>
          <w:color w:val="000000"/>
          <w:sz w:val="18"/>
        </w:rPr>
        <w:t xml:space="preserve">Les principaux textes de référence sont : </w:t>
      </w:r>
    </w:p>
    <w:p w:rsidR="009D2AF8" w:rsidRPr="00723A6C" w:rsidRDefault="009D2AF8" w:rsidP="009D2AF8">
      <w:pPr>
        <w:jc w:val="both"/>
        <w:rPr>
          <w:rFonts w:ascii="Arial" w:hAnsi="Arial" w:cs="Arial"/>
          <w:color w:val="000000"/>
          <w:sz w:val="18"/>
        </w:rPr>
      </w:pPr>
      <w:r w:rsidRPr="00723A6C">
        <w:rPr>
          <w:rFonts w:ascii="Arial" w:hAnsi="Arial" w:cs="Arial"/>
          <w:color w:val="000000"/>
          <w:sz w:val="18"/>
        </w:rPr>
        <w:t xml:space="preserve">• L'arrêté technique du 17 mai 2001 commenté dans l'UTE C 11-001, "Conditions techniques auxquelles doivent  satisfaire les distributions d'énergie" ;  </w:t>
      </w:r>
    </w:p>
    <w:p w:rsidR="009D2AF8" w:rsidRDefault="009D2AF8" w:rsidP="009D2AF8">
      <w:pPr>
        <w:jc w:val="both"/>
        <w:rPr>
          <w:rFonts w:ascii="Arial" w:hAnsi="Arial" w:cs="Arial"/>
          <w:color w:val="000000"/>
          <w:sz w:val="18"/>
        </w:rPr>
      </w:pPr>
      <w:r w:rsidRPr="00723A6C">
        <w:rPr>
          <w:rFonts w:ascii="Arial" w:hAnsi="Arial" w:cs="Arial"/>
          <w:color w:val="000000"/>
          <w:sz w:val="18"/>
        </w:rPr>
        <w:t xml:space="preserve">• La norme NF C 11-201 d’octobre 1996 et ses annexes ; "Réseaux de distribution </w:t>
      </w:r>
      <w:r>
        <w:rPr>
          <w:rFonts w:ascii="Arial" w:hAnsi="Arial" w:cs="Arial"/>
          <w:color w:val="000000"/>
          <w:sz w:val="18"/>
        </w:rPr>
        <w:t xml:space="preserve">d'énergie électrique" ; </w:t>
      </w:r>
    </w:p>
    <w:p w:rsidR="009D2AF8" w:rsidRDefault="009D2AF8" w:rsidP="009D2AF8">
      <w:r w:rsidRPr="00723A6C">
        <w:rPr>
          <w:rFonts w:ascii="Arial" w:hAnsi="Arial" w:cs="Arial"/>
          <w:color w:val="000000"/>
          <w:sz w:val="18"/>
        </w:rPr>
        <w:t xml:space="preserve">• La norme NF C 14-100 de février 2008 </w:t>
      </w:r>
      <w:r w:rsidRPr="00AC4F56">
        <w:rPr>
          <w:rFonts w:ascii="Arial" w:hAnsi="Arial" w:cs="Arial"/>
          <w:color w:val="000000"/>
          <w:sz w:val="18"/>
        </w:rPr>
        <w:t xml:space="preserve">; "Installations de branchement à basse </w:t>
      </w:r>
      <w:r>
        <w:t xml:space="preserve">tension" </w:t>
      </w:r>
    </w:p>
    <w:p w:rsidR="009D2AF8" w:rsidRDefault="009D2AF8" w:rsidP="009D2AF8">
      <w:pPr>
        <w:jc w:val="center"/>
      </w:pPr>
      <w:r>
        <w:t xml:space="preserve"> </w:t>
      </w:r>
    </w:p>
    <w:p w:rsidR="009D2AF8" w:rsidRPr="00AC4F56" w:rsidRDefault="009D2AF8" w:rsidP="009D2AF8">
      <w:pPr>
        <w:jc w:val="both"/>
        <w:rPr>
          <w:rFonts w:ascii="Arial" w:hAnsi="Arial" w:cs="Arial"/>
          <w:color w:val="000000"/>
          <w:sz w:val="32"/>
          <w:szCs w:val="32"/>
        </w:rPr>
      </w:pPr>
      <w:r w:rsidRPr="00C3306A">
        <w:rPr>
          <w:noProof/>
          <w:lang w:eastAsia="fr-FR"/>
        </w:rPr>
        <w:lastRenderedPageBreak/>
        <w:pict>
          <v:rect id="_x0000_s1030" style="position:absolute;left:0;text-align:left;margin-left:-32.7pt;margin-top:-47.35pt;width:520.4pt;height:782.05pt;z-index:251664384" filled="f"/>
        </w:pict>
      </w:r>
      <w:r>
        <w:t xml:space="preserve"> </w:t>
      </w:r>
      <w:r w:rsidRPr="00AC4F56">
        <w:rPr>
          <w:rFonts w:ascii="Arial" w:hAnsi="Arial" w:cs="Arial"/>
          <w:color w:val="000000"/>
          <w:sz w:val="32"/>
          <w:szCs w:val="32"/>
        </w:rPr>
        <w:t xml:space="preserve">1 – Réseau Basse Tension  </w:t>
      </w:r>
    </w:p>
    <w:p w:rsidR="009D2AF8" w:rsidRPr="00AC4F56" w:rsidRDefault="009D2AF8" w:rsidP="009D2AF8">
      <w:pPr>
        <w:jc w:val="both"/>
        <w:rPr>
          <w:rFonts w:ascii="Arial" w:hAnsi="Arial" w:cs="Arial"/>
          <w:b/>
          <w:color w:val="000000"/>
          <w:sz w:val="24"/>
          <w:szCs w:val="24"/>
        </w:rPr>
      </w:pPr>
      <w:r w:rsidRPr="00AC4F56">
        <w:rPr>
          <w:rFonts w:ascii="Arial" w:hAnsi="Arial" w:cs="Arial"/>
          <w:b/>
          <w:color w:val="000000"/>
          <w:sz w:val="24"/>
          <w:szCs w:val="24"/>
        </w:rPr>
        <w:t xml:space="preserve">1.1  Conception </w:t>
      </w:r>
    </w:p>
    <w:p w:rsidR="009D2AF8" w:rsidRPr="00AC4F56" w:rsidRDefault="009D2AF8" w:rsidP="009D2AF8">
      <w:pPr>
        <w:jc w:val="both"/>
        <w:rPr>
          <w:rFonts w:ascii="Arial" w:hAnsi="Arial" w:cs="Arial"/>
          <w:color w:val="000000"/>
          <w:sz w:val="18"/>
        </w:rPr>
      </w:pPr>
      <w:r w:rsidRPr="00AC4F56">
        <w:rPr>
          <w:rFonts w:ascii="Arial" w:hAnsi="Arial" w:cs="Arial"/>
          <w:color w:val="000000"/>
          <w:sz w:val="18"/>
        </w:rPr>
        <w:t xml:space="preserve">Les exigences croissantes de qualité exprimées par les clients nécessitent des délais de </w:t>
      </w:r>
      <w:proofErr w:type="spellStart"/>
      <w:r w:rsidRPr="00AC4F56">
        <w:rPr>
          <w:rFonts w:ascii="Arial" w:hAnsi="Arial" w:cs="Arial"/>
          <w:color w:val="000000"/>
          <w:sz w:val="18"/>
        </w:rPr>
        <w:t>ré-alimentation</w:t>
      </w:r>
      <w:proofErr w:type="spellEnd"/>
      <w:r w:rsidRPr="00AC4F56">
        <w:rPr>
          <w:rFonts w:ascii="Arial" w:hAnsi="Arial" w:cs="Arial"/>
          <w:color w:val="000000"/>
          <w:sz w:val="18"/>
        </w:rPr>
        <w:t xml:space="preserve"> courts en cas d'incident sur les réseaux. Ces exigences conduisent à réaliser un tronçonnement régulier du réseau permettant : </w:t>
      </w:r>
    </w:p>
    <w:p w:rsidR="009D2AF8" w:rsidRPr="00AC4F56" w:rsidRDefault="009D2AF8" w:rsidP="009D2AF8">
      <w:pPr>
        <w:pStyle w:val="Paragraphedeliste"/>
        <w:numPr>
          <w:ilvl w:val="0"/>
          <w:numId w:val="1"/>
        </w:numPr>
        <w:jc w:val="both"/>
        <w:rPr>
          <w:rFonts w:ascii="Arial" w:hAnsi="Arial" w:cs="Arial"/>
          <w:color w:val="000000"/>
          <w:sz w:val="18"/>
        </w:rPr>
      </w:pPr>
      <w:r w:rsidRPr="00AC4F56">
        <w:rPr>
          <w:rFonts w:ascii="Arial" w:hAnsi="Arial" w:cs="Arial"/>
          <w:color w:val="000000"/>
          <w:sz w:val="18"/>
        </w:rPr>
        <w:t xml:space="preserve">l'élimination du tronçon en défaut ; </w:t>
      </w:r>
    </w:p>
    <w:p w:rsidR="009D2AF8" w:rsidRPr="00AC4F56" w:rsidRDefault="009D2AF8" w:rsidP="009D2AF8">
      <w:pPr>
        <w:pStyle w:val="Paragraphedeliste"/>
        <w:numPr>
          <w:ilvl w:val="0"/>
          <w:numId w:val="1"/>
        </w:numPr>
        <w:rPr>
          <w:rFonts w:ascii="Arial" w:hAnsi="Arial" w:cs="Arial"/>
          <w:color w:val="000000"/>
          <w:sz w:val="18"/>
        </w:rPr>
      </w:pPr>
      <w:r w:rsidRPr="00AC4F56">
        <w:rPr>
          <w:rFonts w:ascii="Arial" w:hAnsi="Arial" w:cs="Arial"/>
          <w:color w:val="000000"/>
          <w:sz w:val="18"/>
        </w:rPr>
        <w:t>la reprise de l'alimentation en amont du tronçon en défaut par le départ BT du poste HTA/BT;</w:t>
      </w:r>
    </w:p>
    <w:p w:rsidR="009D2AF8" w:rsidRPr="00AC4F56" w:rsidRDefault="009D2AF8" w:rsidP="009D2AF8">
      <w:pPr>
        <w:pStyle w:val="Paragraphedeliste"/>
        <w:numPr>
          <w:ilvl w:val="0"/>
          <w:numId w:val="1"/>
        </w:numPr>
        <w:rPr>
          <w:rFonts w:ascii="Arial" w:hAnsi="Arial" w:cs="Arial"/>
          <w:color w:val="000000"/>
          <w:sz w:val="18"/>
        </w:rPr>
      </w:pPr>
      <w:r w:rsidRPr="00AC4F56">
        <w:rPr>
          <w:rFonts w:ascii="Arial" w:hAnsi="Arial" w:cs="Arial"/>
          <w:color w:val="000000"/>
          <w:sz w:val="18"/>
        </w:rPr>
        <w:t xml:space="preserve">la reprise de l'alimentation en aval du tronçon en défaut par mise en place d'un moyen de </w:t>
      </w:r>
      <w:proofErr w:type="spellStart"/>
      <w:r w:rsidRPr="00AC4F56">
        <w:rPr>
          <w:rFonts w:ascii="Arial" w:hAnsi="Arial" w:cs="Arial"/>
          <w:color w:val="000000"/>
          <w:sz w:val="18"/>
        </w:rPr>
        <w:t>ré-alimentation</w:t>
      </w:r>
      <w:proofErr w:type="spellEnd"/>
      <w:r w:rsidRPr="00AC4F56">
        <w:rPr>
          <w:rFonts w:ascii="Arial" w:hAnsi="Arial" w:cs="Arial"/>
          <w:color w:val="000000"/>
          <w:sz w:val="18"/>
        </w:rPr>
        <w:t xml:space="preserve"> (liaisons provisoires ou groupe électrogène) ; </w:t>
      </w:r>
    </w:p>
    <w:p w:rsidR="009D2AF8" w:rsidRPr="00AC4F56" w:rsidRDefault="009D2AF8" w:rsidP="009D2AF8">
      <w:pPr>
        <w:pStyle w:val="Paragraphedeliste"/>
        <w:numPr>
          <w:ilvl w:val="0"/>
          <w:numId w:val="1"/>
        </w:numPr>
        <w:rPr>
          <w:rFonts w:ascii="Arial" w:hAnsi="Arial" w:cs="Arial"/>
          <w:color w:val="000000"/>
          <w:sz w:val="18"/>
        </w:rPr>
      </w:pPr>
      <w:r w:rsidRPr="00AC4F56">
        <w:rPr>
          <w:rFonts w:ascii="Arial" w:hAnsi="Arial" w:cs="Arial"/>
          <w:color w:val="000000"/>
          <w:sz w:val="18"/>
        </w:rPr>
        <w:t xml:space="preserve">la reprise des branchements raccordés sur le tronçon en défaut par des câbles provisoires.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Ce tronçonnement est rendu possible par la mise en place d'émergences du réseau.  </w:t>
      </w:r>
    </w:p>
    <w:p w:rsidR="009D2AF8" w:rsidRPr="00AC4F56" w:rsidRDefault="009D2AF8" w:rsidP="009D2AF8">
      <w:pPr>
        <w:jc w:val="both"/>
        <w:rPr>
          <w:rFonts w:ascii="Arial" w:hAnsi="Arial" w:cs="Arial"/>
          <w:color w:val="000000"/>
          <w:sz w:val="18"/>
        </w:rPr>
      </w:pPr>
      <w:r w:rsidRPr="00AC4F56">
        <w:rPr>
          <w:rFonts w:ascii="Arial" w:hAnsi="Arial" w:cs="Arial"/>
          <w:color w:val="000000"/>
          <w:sz w:val="18"/>
        </w:rPr>
        <w:t xml:space="preserve">Afin de maîtriser les temps d'intervention en cas de défaut : </w:t>
      </w:r>
    </w:p>
    <w:p w:rsidR="009D2AF8" w:rsidRPr="00AC4F56" w:rsidRDefault="009D2AF8" w:rsidP="009D2AF8">
      <w:pPr>
        <w:pStyle w:val="Paragraphedeliste"/>
        <w:numPr>
          <w:ilvl w:val="0"/>
          <w:numId w:val="2"/>
        </w:numPr>
        <w:rPr>
          <w:rFonts w:ascii="Arial" w:hAnsi="Arial" w:cs="Arial"/>
          <w:color w:val="000000"/>
          <w:sz w:val="18"/>
        </w:rPr>
      </w:pPr>
      <w:r w:rsidRPr="00AC4F56">
        <w:rPr>
          <w:rFonts w:ascii="Arial" w:hAnsi="Arial" w:cs="Arial"/>
          <w:color w:val="000000"/>
          <w:sz w:val="18"/>
        </w:rPr>
        <w:t xml:space="preserve">la puissance globale des raccordements directs sur un tronçon, entre deux émergences de réseau, est limitée à 120 </w:t>
      </w:r>
      <w:proofErr w:type="spellStart"/>
      <w:r w:rsidRPr="00AC4F56">
        <w:rPr>
          <w:rFonts w:ascii="Arial" w:hAnsi="Arial" w:cs="Arial"/>
          <w:color w:val="000000"/>
          <w:sz w:val="18"/>
        </w:rPr>
        <w:t>kVA</w:t>
      </w:r>
      <w:proofErr w:type="spellEnd"/>
      <w:r w:rsidRPr="00AC4F56">
        <w:rPr>
          <w:rFonts w:ascii="Arial" w:hAnsi="Arial" w:cs="Arial"/>
          <w:color w:val="000000"/>
          <w:sz w:val="18"/>
        </w:rPr>
        <w:t xml:space="preserve"> (puissance foisonnée) ; </w:t>
      </w:r>
    </w:p>
    <w:p w:rsidR="009D2AF8" w:rsidRPr="00AC4F56" w:rsidRDefault="009D2AF8" w:rsidP="009D2AF8">
      <w:pPr>
        <w:pStyle w:val="Paragraphedeliste"/>
        <w:numPr>
          <w:ilvl w:val="0"/>
          <w:numId w:val="2"/>
        </w:numPr>
        <w:rPr>
          <w:rFonts w:ascii="Arial" w:hAnsi="Arial" w:cs="Arial"/>
          <w:color w:val="000000"/>
          <w:sz w:val="18"/>
        </w:rPr>
      </w:pPr>
      <w:r w:rsidRPr="00AC4F56">
        <w:rPr>
          <w:rFonts w:ascii="Arial" w:hAnsi="Arial" w:cs="Arial"/>
          <w:color w:val="000000"/>
          <w:sz w:val="18"/>
        </w:rPr>
        <w:t xml:space="preserve">la distance maximale entre les bornes ou les coffrets de branchement et le point d'émergence le plus proche est d'environ 50 mètres ; </w:t>
      </w:r>
    </w:p>
    <w:p w:rsidR="009D2AF8" w:rsidRPr="00AC4F56" w:rsidRDefault="009D2AF8" w:rsidP="009D2AF8">
      <w:pPr>
        <w:pStyle w:val="Paragraphedeliste"/>
        <w:numPr>
          <w:ilvl w:val="0"/>
          <w:numId w:val="2"/>
        </w:numPr>
        <w:rPr>
          <w:rFonts w:ascii="Arial" w:hAnsi="Arial" w:cs="Arial"/>
          <w:color w:val="000000"/>
          <w:sz w:val="18"/>
        </w:rPr>
      </w:pPr>
      <w:r w:rsidRPr="00AC4F56">
        <w:rPr>
          <w:rFonts w:ascii="Arial" w:hAnsi="Arial" w:cs="Arial"/>
          <w:color w:val="000000"/>
          <w:sz w:val="18"/>
        </w:rPr>
        <w:t xml:space="preserve">le nombre d'accessoires souterrains installés entre deux tronçonnements est limité à 5 pour les dérivations simples ou doubles de branchement et à 1 pour les dérivations de réseau ; - La distance entre deux émergences doit être limitée à un maximum de 150 m.  </w:t>
      </w:r>
    </w:p>
    <w:p w:rsidR="009D2AF8" w:rsidRPr="00AC4F56" w:rsidRDefault="009D2AF8" w:rsidP="009D2AF8">
      <w:pPr>
        <w:jc w:val="both"/>
        <w:rPr>
          <w:rFonts w:ascii="Arial" w:hAnsi="Arial" w:cs="Arial"/>
          <w:color w:val="000000"/>
          <w:sz w:val="18"/>
        </w:rPr>
      </w:pPr>
      <w:r w:rsidRPr="00AC4F56">
        <w:rPr>
          <w:rFonts w:ascii="Arial" w:hAnsi="Arial" w:cs="Arial"/>
          <w:color w:val="000000"/>
          <w:sz w:val="18"/>
        </w:rPr>
        <w:t xml:space="preserve">La figure ci-après illustre ces prescriptions. </w:t>
      </w:r>
    </w:p>
    <w:p w:rsidR="009D2AF8" w:rsidRPr="00AC4F56" w:rsidRDefault="009D2AF8" w:rsidP="009D2AF8">
      <w:pPr>
        <w:jc w:val="both"/>
        <w:rPr>
          <w:rFonts w:ascii="Arial" w:hAnsi="Arial" w:cs="Arial"/>
        </w:rPr>
      </w:pPr>
      <w:r>
        <w:rPr>
          <w:rFonts w:ascii="Arial" w:hAnsi="Arial" w:cs="Arial"/>
          <w:noProof/>
          <w:lang w:eastAsia="fr-FR"/>
        </w:rPr>
        <w:drawing>
          <wp:anchor distT="0" distB="0" distL="114300" distR="114300" simplePos="0" relativeHeight="251661312" behindDoc="1" locked="0" layoutInCell="1" allowOverlap="1">
            <wp:simplePos x="0" y="0"/>
            <wp:positionH relativeFrom="column">
              <wp:posOffset>15240</wp:posOffset>
            </wp:positionH>
            <wp:positionV relativeFrom="paragraph">
              <wp:posOffset>-3810</wp:posOffset>
            </wp:positionV>
            <wp:extent cx="5756910" cy="2707005"/>
            <wp:effectExtent l="19050" t="0" r="0" b="0"/>
            <wp:wrapNone/>
            <wp:docPr id="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6"/>
                    <a:srcRect/>
                    <a:stretch>
                      <a:fillRect/>
                    </a:stretch>
                  </pic:blipFill>
                  <pic:spPr bwMode="auto">
                    <a:xfrm>
                      <a:off x="0" y="0"/>
                      <a:ext cx="5756910" cy="2707005"/>
                    </a:xfrm>
                    <a:prstGeom prst="rect">
                      <a:avLst/>
                    </a:prstGeom>
                    <a:noFill/>
                    <a:ln w="9525">
                      <a:noFill/>
                      <a:miter lim="800000"/>
                      <a:headEnd/>
                      <a:tailEnd/>
                    </a:ln>
                  </pic:spPr>
                </pic:pic>
              </a:graphicData>
            </a:graphic>
          </wp:anchor>
        </w:drawing>
      </w:r>
      <w:r w:rsidRPr="00AC4F56">
        <w:rPr>
          <w:rFonts w:ascii="Arial" w:hAnsi="Arial" w:cs="Arial"/>
        </w:rPr>
        <w:t xml:space="preserve"> </w:t>
      </w:r>
    </w:p>
    <w:p w:rsidR="009D2AF8" w:rsidRDefault="009D2AF8" w:rsidP="009D2AF8">
      <w:pPr>
        <w:jc w:val="both"/>
      </w:pPr>
      <w:r w:rsidRPr="00AC4F56">
        <w:rPr>
          <w:rFonts w:ascii="Arial" w:hAnsi="Arial" w:cs="Arial"/>
        </w:rPr>
        <w:t xml:space="preserve"> </w:t>
      </w:r>
    </w:p>
    <w:p w:rsidR="009D2AF8" w:rsidRDefault="009D2AF8" w:rsidP="009D2AF8">
      <w:pPr>
        <w:jc w:val="both"/>
      </w:pPr>
      <w:r>
        <w:t xml:space="preserve"> </w:t>
      </w: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p>
    <w:p w:rsidR="009D2AF8" w:rsidRDefault="009D2AF8" w:rsidP="009D2AF8">
      <w:pPr>
        <w:rPr>
          <w:rFonts w:ascii="Arial" w:hAnsi="Arial" w:cs="Arial"/>
          <w:color w:val="000000"/>
          <w:sz w:val="18"/>
        </w:rPr>
      </w:pPr>
      <w:r w:rsidRPr="00AC4F56">
        <w:rPr>
          <w:rFonts w:ascii="Arial" w:hAnsi="Arial" w:cs="Arial"/>
          <w:color w:val="000000"/>
          <w:sz w:val="18"/>
        </w:rPr>
        <w:t>D’autre part, pour respecter la valeur réglementaire aux points de livraison de la tension 230 V (+10%, -10%) :</w:t>
      </w:r>
    </w:p>
    <w:p w:rsidR="009D2AF8" w:rsidRPr="00AC4F56" w:rsidRDefault="009D2AF8" w:rsidP="009D2AF8">
      <w:pPr>
        <w:pStyle w:val="Paragraphedeliste"/>
        <w:numPr>
          <w:ilvl w:val="0"/>
          <w:numId w:val="3"/>
        </w:numPr>
        <w:rPr>
          <w:rFonts w:ascii="Arial" w:hAnsi="Arial" w:cs="Arial"/>
          <w:color w:val="000000"/>
          <w:sz w:val="18"/>
        </w:rPr>
      </w:pPr>
      <w:r w:rsidRPr="00AC4F56">
        <w:rPr>
          <w:rFonts w:ascii="Arial" w:hAnsi="Arial" w:cs="Arial"/>
          <w:color w:val="000000"/>
          <w:sz w:val="18"/>
        </w:rPr>
        <w:t xml:space="preserve">après application des sections de câbles économiques, la chute de tension maximale cumulée ne doit pas dépasser 5% dans le départ BT direct souterrain neuf, en amont du branchement (entre le tableau BT du poste de distribution publique alimentant le lotissement et l’origine du branchement).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Les émergences doivent être accessibles en permanence depuis le domaine public et de ce fait, ne doivent pas être installées dans les parties privatives non accessibles des lotissements.  </w:t>
      </w:r>
    </w:p>
    <w:p w:rsidR="009D2AF8" w:rsidRDefault="009D2AF8" w:rsidP="009D2AF8">
      <w:pPr>
        <w:jc w:val="both"/>
        <w:rPr>
          <w:rFonts w:ascii="Arial" w:hAnsi="Arial" w:cs="Arial"/>
          <w:b/>
          <w:color w:val="000000"/>
          <w:sz w:val="24"/>
          <w:szCs w:val="24"/>
        </w:rPr>
      </w:pPr>
    </w:p>
    <w:p w:rsidR="009D2AF8" w:rsidRDefault="009D2AF8" w:rsidP="009D2AF8">
      <w:pPr>
        <w:jc w:val="both"/>
        <w:rPr>
          <w:rFonts w:ascii="Arial" w:hAnsi="Arial" w:cs="Arial"/>
          <w:b/>
          <w:color w:val="000000"/>
          <w:sz w:val="24"/>
          <w:szCs w:val="24"/>
        </w:rPr>
      </w:pPr>
    </w:p>
    <w:p w:rsidR="009D2AF8" w:rsidRPr="00AC4F56" w:rsidRDefault="009D2AF8" w:rsidP="009D2AF8">
      <w:pPr>
        <w:jc w:val="both"/>
        <w:rPr>
          <w:rFonts w:ascii="Arial" w:hAnsi="Arial" w:cs="Arial"/>
          <w:b/>
          <w:color w:val="000000"/>
          <w:sz w:val="24"/>
          <w:szCs w:val="24"/>
        </w:rPr>
      </w:pPr>
      <w:r>
        <w:rPr>
          <w:rFonts w:ascii="Arial" w:hAnsi="Arial" w:cs="Arial"/>
          <w:b/>
          <w:noProof/>
          <w:color w:val="000000"/>
          <w:sz w:val="24"/>
          <w:szCs w:val="24"/>
          <w:lang w:eastAsia="fr-FR"/>
        </w:rPr>
        <w:lastRenderedPageBreak/>
        <w:pict>
          <v:rect id="_x0000_s1031" style="position:absolute;left:0;text-align:left;margin-left:-38.4pt;margin-top:-43.75pt;width:520.4pt;height:782.05pt;z-index:251665408" filled="f"/>
        </w:pict>
      </w:r>
      <w:r w:rsidRPr="00AC4F56">
        <w:rPr>
          <w:rFonts w:ascii="Arial" w:hAnsi="Arial" w:cs="Arial"/>
          <w:b/>
          <w:color w:val="000000"/>
          <w:sz w:val="24"/>
          <w:szCs w:val="24"/>
        </w:rPr>
        <w:t xml:space="preserve">1.2  Calcul des sections de câbles </w:t>
      </w:r>
    </w:p>
    <w:p w:rsidR="009D2AF8" w:rsidRPr="00AC4F56" w:rsidRDefault="009D2AF8" w:rsidP="009D2AF8">
      <w:pPr>
        <w:jc w:val="both"/>
        <w:rPr>
          <w:rFonts w:ascii="Arial" w:hAnsi="Arial" w:cs="Arial"/>
          <w:b/>
          <w:color w:val="000000"/>
          <w:sz w:val="18"/>
        </w:rPr>
      </w:pPr>
      <w:r w:rsidRPr="00AC4F56">
        <w:rPr>
          <w:rFonts w:ascii="Arial" w:hAnsi="Arial" w:cs="Arial"/>
          <w:b/>
        </w:rPr>
        <w:t xml:space="preserve"> </w:t>
      </w:r>
      <w:r w:rsidRPr="00AC4F56">
        <w:rPr>
          <w:rFonts w:ascii="Arial" w:hAnsi="Arial" w:cs="Arial"/>
          <w:b/>
          <w:color w:val="000000"/>
          <w:sz w:val="18"/>
        </w:rPr>
        <w:t xml:space="preserve">1.2.1  </w:t>
      </w:r>
      <w:r w:rsidRPr="00AC4F56">
        <w:rPr>
          <w:rFonts w:ascii="Arial" w:hAnsi="Arial" w:cs="Arial"/>
          <w:b/>
          <w:color w:val="000000"/>
          <w:sz w:val="18"/>
          <w:u w:val="single"/>
        </w:rPr>
        <w:t>Données nécessaires</w:t>
      </w:r>
      <w:r w:rsidRPr="00AC4F56">
        <w:rPr>
          <w:rFonts w:ascii="Arial" w:hAnsi="Arial" w:cs="Arial"/>
          <w:b/>
          <w:color w:val="000000"/>
          <w:sz w:val="18"/>
        </w:rPr>
        <w:t xml:space="preserve">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Les données nécessaires pour le dimensionnement du réseau basse tension d'un lotissement sont : - un plan parcellaire du lotissement avec les surfaces ou les besoins en énergie des différentes parcelles ; - un tracé du réseau électrique envisagé. </w:t>
      </w:r>
    </w:p>
    <w:p w:rsidR="009D2AF8" w:rsidRDefault="009D2AF8" w:rsidP="009D2AF8">
      <w:pPr>
        <w:jc w:val="both"/>
        <w:rPr>
          <w:rFonts w:ascii="Arial" w:hAnsi="Arial" w:cs="Arial"/>
          <w:color w:val="000000"/>
          <w:sz w:val="18"/>
        </w:rPr>
      </w:pPr>
      <w:r w:rsidRPr="00AC4F56">
        <w:rPr>
          <w:rFonts w:ascii="Arial" w:hAnsi="Arial" w:cs="Arial"/>
          <w:color w:val="000000"/>
          <w:sz w:val="18"/>
        </w:rPr>
        <w:t xml:space="preserve">L'annexe 2 illustre ces données. </w:t>
      </w:r>
    </w:p>
    <w:p w:rsidR="009D2AF8" w:rsidRPr="00AC4F56" w:rsidRDefault="009D2AF8" w:rsidP="009D2AF8">
      <w:pPr>
        <w:jc w:val="both"/>
        <w:rPr>
          <w:rFonts w:ascii="Arial" w:hAnsi="Arial" w:cs="Arial"/>
          <w:b/>
          <w:color w:val="000000"/>
          <w:sz w:val="18"/>
        </w:rPr>
      </w:pPr>
      <w:r w:rsidRPr="00AC4F56">
        <w:rPr>
          <w:rFonts w:ascii="Arial" w:hAnsi="Arial" w:cs="Arial"/>
          <w:b/>
          <w:color w:val="000000"/>
          <w:sz w:val="18"/>
        </w:rPr>
        <w:t xml:space="preserve">1.2.2  </w:t>
      </w:r>
      <w:r w:rsidRPr="00AC4F56">
        <w:rPr>
          <w:rFonts w:ascii="Arial" w:hAnsi="Arial" w:cs="Arial"/>
          <w:b/>
          <w:color w:val="000000"/>
          <w:sz w:val="18"/>
          <w:u w:val="single"/>
        </w:rPr>
        <w:t>Puissances de dimensionnement des parcelles</w:t>
      </w:r>
      <w:r w:rsidRPr="00AC4F56">
        <w:rPr>
          <w:rFonts w:ascii="Arial" w:hAnsi="Arial" w:cs="Arial"/>
          <w:b/>
          <w:color w:val="000000"/>
          <w:sz w:val="18"/>
        </w:rPr>
        <w:t xml:space="preserve">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Les puissances minimales de dimensionnement du raccordement des parcelles sont données dans le tableau ci-après. </w:t>
      </w:r>
    </w:p>
    <w:p w:rsidR="009D2AF8" w:rsidRDefault="009D2AF8" w:rsidP="009D2AF8">
      <w:pPr>
        <w:jc w:val="both"/>
      </w:pPr>
      <w:r>
        <w:rPr>
          <w:noProof/>
          <w:lang w:eastAsia="fr-FR"/>
        </w:rPr>
        <w:drawing>
          <wp:inline distT="0" distB="0" distL="0" distR="0">
            <wp:extent cx="5638800" cy="2359660"/>
            <wp:effectExtent l="19050" t="0" r="0" b="0"/>
            <wp:docPr id="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a:srcRect/>
                    <a:stretch>
                      <a:fillRect/>
                    </a:stretch>
                  </pic:blipFill>
                  <pic:spPr bwMode="auto">
                    <a:xfrm>
                      <a:off x="0" y="0"/>
                      <a:ext cx="5638800" cy="2359660"/>
                    </a:xfrm>
                    <a:prstGeom prst="rect">
                      <a:avLst/>
                    </a:prstGeom>
                    <a:noFill/>
                    <a:ln w="9525">
                      <a:noFill/>
                      <a:miter lim="800000"/>
                      <a:headEnd/>
                      <a:tailEnd/>
                    </a:ln>
                  </pic:spPr>
                </pic:pic>
              </a:graphicData>
            </a:graphic>
          </wp:inline>
        </w:drawing>
      </w:r>
      <w:r>
        <w:t xml:space="preserve">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Ce dimensionnement est à prendre en compte, que les parcelles soient vendues nues ou construites, quel que soit le mode de chauffage des futures habitations (électrique ou non). </w:t>
      </w:r>
    </w:p>
    <w:p w:rsidR="009D2AF8" w:rsidRPr="00AC4F56" w:rsidRDefault="009D2AF8" w:rsidP="009D2AF8">
      <w:pPr>
        <w:jc w:val="both"/>
        <w:rPr>
          <w:rFonts w:ascii="Arial" w:hAnsi="Arial" w:cs="Arial"/>
          <w:b/>
          <w:color w:val="000000"/>
          <w:sz w:val="18"/>
        </w:rPr>
      </w:pPr>
      <w:r w:rsidRPr="00AC4F56">
        <w:rPr>
          <w:rFonts w:ascii="Arial" w:hAnsi="Arial" w:cs="Arial"/>
          <w:b/>
        </w:rPr>
        <w:t xml:space="preserve"> </w:t>
      </w:r>
      <w:r w:rsidRPr="00AC4F56">
        <w:rPr>
          <w:rFonts w:ascii="Arial" w:hAnsi="Arial" w:cs="Arial"/>
          <w:b/>
          <w:color w:val="000000"/>
          <w:sz w:val="18"/>
        </w:rPr>
        <w:t xml:space="preserve">1.2.3  </w:t>
      </w:r>
      <w:r w:rsidRPr="00AC4F56">
        <w:rPr>
          <w:rFonts w:ascii="Arial" w:hAnsi="Arial" w:cs="Arial"/>
          <w:b/>
          <w:color w:val="000000"/>
          <w:sz w:val="18"/>
          <w:u w:val="single"/>
        </w:rPr>
        <w:t>Pondération des puissances des parcelles</w:t>
      </w:r>
      <w:r w:rsidRPr="00AC4F56">
        <w:rPr>
          <w:rFonts w:ascii="Arial" w:hAnsi="Arial" w:cs="Arial"/>
          <w:b/>
          <w:color w:val="000000"/>
          <w:sz w:val="18"/>
        </w:rPr>
        <w:t xml:space="preserve"> </w:t>
      </w:r>
    </w:p>
    <w:p w:rsidR="009D2AF8" w:rsidRPr="00AC4F56" w:rsidRDefault="009D2AF8" w:rsidP="009D2AF8">
      <w:pPr>
        <w:rPr>
          <w:rFonts w:ascii="Arial" w:hAnsi="Arial" w:cs="Arial"/>
          <w:color w:val="000000"/>
          <w:sz w:val="18"/>
        </w:rPr>
      </w:pPr>
      <w:r w:rsidRPr="00AC4F56">
        <w:rPr>
          <w:rFonts w:ascii="Arial" w:hAnsi="Arial" w:cs="Arial"/>
          <w:color w:val="000000"/>
          <w:sz w:val="18"/>
        </w:rPr>
        <w:t xml:space="preserve">En un point donné du réseau, la somme des puissances desservies en aval de ce point est à pondérer d'un coefficient inversement proportionnel au nombre des parcelles alimentées. Le tableau ci-après donne ces coefficients de pondération. </w:t>
      </w:r>
    </w:p>
    <w:p w:rsidR="009D2AF8" w:rsidRDefault="009D2AF8" w:rsidP="009D2AF8">
      <w:pPr>
        <w:jc w:val="both"/>
      </w:pPr>
      <w:r>
        <w:rPr>
          <w:noProof/>
          <w:lang w:eastAsia="fr-FR"/>
        </w:rPr>
        <w:drawing>
          <wp:inline distT="0" distB="0" distL="0" distR="0">
            <wp:extent cx="3837940" cy="2336800"/>
            <wp:effectExtent l="19050" t="0" r="0" b="0"/>
            <wp:docPr id="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8"/>
                    <a:srcRect/>
                    <a:stretch>
                      <a:fillRect/>
                    </a:stretch>
                  </pic:blipFill>
                  <pic:spPr bwMode="auto">
                    <a:xfrm>
                      <a:off x="0" y="0"/>
                      <a:ext cx="3837940" cy="2336800"/>
                    </a:xfrm>
                    <a:prstGeom prst="rect">
                      <a:avLst/>
                    </a:prstGeom>
                    <a:noFill/>
                    <a:ln w="9525">
                      <a:noFill/>
                      <a:miter lim="800000"/>
                      <a:headEnd/>
                      <a:tailEnd/>
                    </a:ln>
                  </pic:spPr>
                </pic:pic>
              </a:graphicData>
            </a:graphic>
          </wp:inline>
        </w:drawing>
      </w:r>
      <w:r>
        <w:t xml:space="preserve"> </w:t>
      </w:r>
    </w:p>
    <w:p w:rsidR="009D2AF8" w:rsidRDefault="009D2AF8" w:rsidP="009D2AF8">
      <w:pPr>
        <w:jc w:val="both"/>
      </w:pPr>
    </w:p>
    <w:p w:rsidR="009D2AF8" w:rsidRDefault="009D2AF8" w:rsidP="009D2AF8">
      <w:pPr>
        <w:rPr>
          <w:rFonts w:ascii="Arial" w:hAnsi="Arial" w:cs="Arial"/>
          <w:b/>
          <w:color w:val="000000"/>
          <w:sz w:val="18"/>
          <w:u w:val="single"/>
        </w:rPr>
      </w:pPr>
      <w:r w:rsidRPr="00C3306A">
        <w:rPr>
          <w:rFonts w:ascii="Arial" w:hAnsi="Arial" w:cs="Arial"/>
          <w:b/>
          <w:noProof/>
          <w:color w:val="000000"/>
          <w:sz w:val="18"/>
          <w:lang w:eastAsia="fr-FR"/>
        </w:rPr>
        <w:lastRenderedPageBreak/>
        <w:pict>
          <v:rect id="_x0000_s1032" style="position:absolute;margin-left:-32pt;margin-top:-46.6pt;width:520.4pt;height:782.05pt;z-index:251666432" filled="f"/>
        </w:pict>
      </w:r>
      <w:r w:rsidRPr="00AC4F56">
        <w:rPr>
          <w:rFonts w:ascii="Arial" w:hAnsi="Arial" w:cs="Arial"/>
          <w:b/>
          <w:color w:val="000000"/>
          <w:sz w:val="18"/>
        </w:rPr>
        <w:t xml:space="preserve">1.2.4  </w:t>
      </w:r>
      <w:r w:rsidRPr="00AC4F56">
        <w:rPr>
          <w:rFonts w:ascii="Arial" w:hAnsi="Arial" w:cs="Arial"/>
          <w:b/>
          <w:color w:val="000000"/>
          <w:sz w:val="18"/>
          <w:u w:val="single"/>
        </w:rPr>
        <w:t>Caractéristiques techniques des câbles pour réseaux et branchements</w:t>
      </w:r>
    </w:p>
    <w:p w:rsidR="009D2AF8" w:rsidRDefault="009D2AF8" w:rsidP="009D2AF8">
      <w:pPr>
        <w:rPr>
          <w:rFonts w:ascii="Arial" w:hAnsi="Arial" w:cs="Arial"/>
          <w:color w:val="000000"/>
          <w:sz w:val="18"/>
        </w:rPr>
      </w:pPr>
      <w:r w:rsidRPr="005A1AD1">
        <w:rPr>
          <w:rFonts w:ascii="Arial" w:hAnsi="Arial" w:cs="Arial"/>
          <w:color w:val="000000"/>
          <w:sz w:val="18"/>
        </w:rPr>
        <w:t xml:space="preserve"> Les caractéristiques techniques des câbles pour réseaux et branchements sont indiquées dans le tableau ci-après. </w:t>
      </w:r>
    </w:p>
    <w:p w:rsidR="009D2AF8" w:rsidRPr="005A1AD1" w:rsidRDefault="009D2AF8" w:rsidP="009D2AF8">
      <w:pPr>
        <w:rPr>
          <w:rFonts w:ascii="Arial" w:hAnsi="Arial" w:cs="Arial"/>
          <w:color w:val="000000"/>
          <w:sz w:val="18"/>
        </w:rPr>
      </w:pPr>
      <w:r>
        <w:rPr>
          <w:rFonts w:ascii="Arial" w:hAnsi="Arial" w:cs="Arial"/>
          <w:noProof/>
          <w:color w:val="000000"/>
          <w:sz w:val="18"/>
          <w:lang w:eastAsia="fr-FR"/>
        </w:rPr>
        <w:drawing>
          <wp:inline distT="0" distB="0" distL="0" distR="0">
            <wp:extent cx="5757545" cy="1377315"/>
            <wp:effectExtent l="19050" t="0" r="0" b="0"/>
            <wp:docPr id="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srcRect/>
                    <a:stretch>
                      <a:fillRect/>
                    </a:stretch>
                  </pic:blipFill>
                  <pic:spPr bwMode="auto">
                    <a:xfrm>
                      <a:off x="0" y="0"/>
                      <a:ext cx="5757545" cy="1377315"/>
                    </a:xfrm>
                    <a:prstGeom prst="rect">
                      <a:avLst/>
                    </a:prstGeom>
                    <a:noFill/>
                    <a:ln w="9525">
                      <a:noFill/>
                      <a:miter lim="800000"/>
                      <a:headEnd/>
                      <a:tailEnd/>
                    </a:ln>
                  </pic:spPr>
                </pic:pic>
              </a:graphicData>
            </a:graphic>
          </wp:inline>
        </w:drawing>
      </w:r>
    </w:p>
    <w:p w:rsidR="009D2AF8" w:rsidRPr="005A1AD1" w:rsidRDefault="009D2AF8" w:rsidP="009D2AF8">
      <w:pPr>
        <w:jc w:val="both"/>
        <w:rPr>
          <w:rFonts w:ascii="Arial" w:hAnsi="Arial" w:cs="Arial"/>
          <w:color w:val="000000"/>
          <w:sz w:val="18"/>
        </w:rPr>
      </w:pPr>
      <w:r w:rsidRPr="005A1AD1">
        <w:rPr>
          <w:rFonts w:ascii="Arial" w:hAnsi="Arial" w:cs="Arial"/>
        </w:rPr>
        <w:t xml:space="preserve"> </w:t>
      </w:r>
      <w:r w:rsidRPr="005A1AD1">
        <w:rPr>
          <w:rFonts w:ascii="Arial" w:hAnsi="Arial" w:cs="Arial"/>
          <w:color w:val="000000"/>
          <w:sz w:val="18"/>
        </w:rPr>
        <w:t xml:space="preserve">Les intensités maximales admises doivent être minorées par les facteurs de correction précisés ci-après, lorsque les câbles enterrés cheminent en parallèle (écartement de 20 cm), avec ou sans fourreau. Cette réduction de capacité est à appliquer uniquement lors d'un parcours commun supérieur à 10 mètres.  </w:t>
      </w:r>
    </w:p>
    <w:p w:rsidR="009D2AF8" w:rsidRDefault="009D2AF8" w:rsidP="009D2AF8">
      <w:pPr>
        <w:jc w:val="both"/>
      </w:pPr>
      <w:r>
        <w:rPr>
          <w:noProof/>
          <w:lang w:eastAsia="fr-FR"/>
        </w:rPr>
        <w:drawing>
          <wp:inline distT="0" distB="0" distL="0" distR="0">
            <wp:extent cx="5429885" cy="1202055"/>
            <wp:effectExtent l="19050" t="0" r="0" b="0"/>
            <wp:docPr id="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0"/>
                    <a:srcRect/>
                    <a:stretch>
                      <a:fillRect/>
                    </a:stretch>
                  </pic:blipFill>
                  <pic:spPr bwMode="auto">
                    <a:xfrm>
                      <a:off x="0" y="0"/>
                      <a:ext cx="5429885" cy="1202055"/>
                    </a:xfrm>
                    <a:prstGeom prst="rect">
                      <a:avLst/>
                    </a:prstGeom>
                    <a:noFill/>
                    <a:ln w="9525">
                      <a:noFill/>
                      <a:miter lim="800000"/>
                      <a:headEnd/>
                      <a:tailEnd/>
                    </a:ln>
                  </pic:spPr>
                </pic:pic>
              </a:graphicData>
            </a:graphic>
          </wp:inline>
        </w:drawing>
      </w:r>
    </w:p>
    <w:p w:rsidR="009D2AF8" w:rsidRPr="005A1AD1" w:rsidRDefault="009D2AF8" w:rsidP="009D2AF8">
      <w:pPr>
        <w:jc w:val="both"/>
        <w:rPr>
          <w:rFonts w:ascii="Arial" w:hAnsi="Arial" w:cs="Arial"/>
          <w:b/>
          <w:color w:val="000000"/>
          <w:sz w:val="18"/>
        </w:rPr>
      </w:pPr>
      <w:r w:rsidRPr="005A1AD1">
        <w:rPr>
          <w:rFonts w:ascii="Arial" w:hAnsi="Arial" w:cs="Arial"/>
          <w:b/>
        </w:rPr>
        <w:t xml:space="preserve"> </w:t>
      </w:r>
      <w:r w:rsidRPr="005A1AD1">
        <w:rPr>
          <w:rFonts w:ascii="Arial" w:hAnsi="Arial" w:cs="Arial"/>
          <w:b/>
          <w:color w:val="000000"/>
          <w:sz w:val="18"/>
        </w:rPr>
        <w:t xml:space="preserve">1.2.5  </w:t>
      </w:r>
      <w:r w:rsidRPr="005A1AD1">
        <w:rPr>
          <w:rFonts w:ascii="Arial" w:hAnsi="Arial" w:cs="Arial"/>
          <w:b/>
          <w:color w:val="000000"/>
          <w:sz w:val="18"/>
          <w:u w:val="single"/>
        </w:rPr>
        <w:t>Transit des câbles réseaux</w:t>
      </w:r>
      <w:r w:rsidRPr="005A1AD1">
        <w:rPr>
          <w:rFonts w:ascii="Arial" w:hAnsi="Arial" w:cs="Arial"/>
          <w:b/>
          <w:color w:val="000000"/>
          <w:sz w:val="18"/>
        </w:rPr>
        <w:t xml:space="preserve"> </w:t>
      </w:r>
    </w:p>
    <w:p w:rsidR="009D2AF8" w:rsidRPr="005A1AD1" w:rsidRDefault="009D2AF8" w:rsidP="009D2AF8">
      <w:pPr>
        <w:rPr>
          <w:rFonts w:ascii="Arial" w:hAnsi="Arial" w:cs="Arial"/>
          <w:color w:val="000000"/>
          <w:sz w:val="18"/>
        </w:rPr>
      </w:pPr>
      <w:r w:rsidRPr="005A1AD1">
        <w:rPr>
          <w:rFonts w:ascii="Arial" w:hAnsi="Arial" w:cs="Arial"/>
          <w:color w:val="000000"/>
          <w:sz w:val="18"/>
        </w:rPr>
        <w:t xml:space="preserve">Les câbles réseaux sont à âme aluminium et conformes à la NF C 33-210 ou équivalent. </w:t>
      </w:r>
    </w:p>
    <w:p w:rsidR="009D2AF8" w:rsidRPr="005A1AD1" w:rsidRDefault="009D2AF8" w:rsidP="009D2AF8">
      <w:pPr>
        <w:rPr>
          <w:rFonts w:ascii="Arial" w:hAnsi="Arial" w:cs="Arial"/>
          <w:color w:val="000000"/>
          <w:sz w:val="18"/>
        </w:rPr>
      </w:pPr>
      <w:r w:rsidRPr="005A1AD1">
        <w:rPr>
          <w:rFonts w:ascii="Arial" w:hAnsi="Arial" w:cs="Arial"/>
          <w:color w:val="000000"/>
          <w:sz w:val="18"/>
        </w:rPr>
        <w:t>Trois sections de conducteurs sont utilisées avec les limites de transit suivantes (puissance pondérée</w:t>
      </w:r>
      <w:proofErr w:type="gramStart"/>
      <w:r w:rsidRPr="005A1AD1">
        <w:rPr>
          <w:rFonts w:ascii="Arial" w:hAnsi="Arial" w:cs="Arial"/>
          <w:color w:val="000000"/>
          <w:sz w:val="18"/>
        </w:rPr>
        <w:t>)  :</w:t>
      </w:r>
      <w:proofErr w:type="gramEnd"/>
      <w:r w:rsidRPr="005A1AD1">
        <w:rPr>
          <w:rFonts w:ascii="Arial" w:hAnsi="Arial" w:cs="Arial"/>
          <w:color w:val="000000"/>
          <w:sz w:val="18"/>
        </w:rPr>
        <w:t xml:space="preserve"> </w:t>
      </w:r>
    </w:p>
    <w:p w:rsidR="009D2AF8" w:rsidRPr="005A1AD1" w:rsidRDefault="009D2AF8" w:rsidP="009D2AF8">
      <w:pPr>
        <w:pStyle w:val="Paragraphedeliste"/>
        <w:numPr>
          <w:ilvl w:val="0"/>
          <w:numId w:val="4"/>
        </w:numPr>
        <w:rPr>
          <w:rFonts w:ascii="Arial" w:hAnsi="Arial" w:cs="Arial"/>
          <w:color w:val="000000"/>
          <w:sz w:val="18"/>
        </w:rPr>
      </w:pPr>
      <w:r w:rsidRPr="005A1AD1">
        <w:rPr>
          <w:rFonts w:ascii="Arial" w:hAnsi="Arial" w:cs="Arial"/>
          <w:color w:val="000000"/>
          <w:sz w:val="18"/>
        </w:rPr>
        <w:t xml:space="preserve">240 mm² pour un départ de poste HTA/BT alimentant une charge supérieure ou égale à 120 </w:t>
      </w:r>
      <w:proofErr w:type="spellStart"/>
      <w:r w:rsidRPr="005A1AD1">
        <w:rPr>
          <w:rFonts w:ascii="Arial" w:hAnsi="Arial" w:cs="Arial"/>
          <w:color w:val="000000"/>
          <w:sz w:val="18"/>
        </w:rPr>
        <w:t>kVA</w:t>
      </w:r>
      <w:proofErr w:type="spellEnd"/>
      <w:r w:rsidRPr="005A1AD1">
        <w:rPr>
          <w:rFonts w:ascii="Arial" w:hAnsi="Arial" w:cs="Arial"/>
          <w:color w:val="000000"/>
          <w:sz w:val="18"/>
        </w:rPr>
        <w:t xml:space="preserve"> et inférieure à 180 </w:t>
      </w:r>
      <w:proofErr w:type="spellStart"/>
      <w:r w:rsidRPr="005A1AD1">
        <w:rPr>
          <w:rFonts w:ascii="Arial" w:hAnsi="Arial" w:cs="Arial"/>
          <w:color w:val="000000"/>
          <w:sz w:val="18"/>
        </w:rPr>
        <w:t>kVA</w:t>
      </w:r>
      <w:proofErr w:type="spellEnd"/>
      <w:r w:rsidRPr="005A1AD1">
        <w:rPr>
          <w:rFonts w:ascii="Arial" w:hAnsi="Arial" w:cs="Arial"/>
          <w:color w:val="000000"/>
          <w:sz w:val="18"/>
        </w:rPr>
        <w:t xml:space="preserve"> ; </w:t>
      </w:r>
    </w:p>
    <w:p w:rsidR="009D2AF8" w:rsidRPr="005A1AD1" w:rsidRDefault="009D2AF8" w:rsidP="009D2AF8">
      <w:pPr>
        <w:pStyle w:val="Paragraphedeliste"/>
        <w:numPr>
          <w:ilvl w:val="0"/>
          <w:numId w:val="4"/>
        </w:numPr>
        <w:rPr>
          <w:rFonts w:ascii="Arial" w:hAnsi="Arial" w:cs="Arial"/>
          <w:color w:val="000000"/>
          <w:sz w:val="18"/>
        </w:rPr>
      </w:pPr>
      <w:r w:rsidRPr="005A1AD1">
        <w:rPr>
          <w:rFonts w:ascii="Arial" w:hAnsi="Arial" w:cs="Arial"/>
          <w:color w:val="000000"/>
          <w:sz w:val="18"/>
        </w:rPr>
        <w:t xml:space="preserve">150 mm² pour un départ de poste HTA/BT alimentant une charge inférieure à 120 </w:t>
      </w:r>
      <w:proofErr w:type="spellStart"/>
      <w:r w:rsidRPr="005A1AD1">
        <w:rPr>
          <w:rFonts w:ascii="Arial" w:hAnsi="Arial" w:cs="Arial"/>
          <w:color w:val="000000"/>
          <w:sz w:val="18"/>
        </w:rPr>
        <w:t>kVA</w:t>
      </w:r>
      <w:proofErr w:type="spellEnd"/>
      <w:r w:rsidRPr="005A1AD1">
        <w:rPr>
          <w:rFonts w:ascii="Arial" w:hAnsi="Arial" w:cs="Arial"/>
          <w:color w:val="000000"/>
          <w:sz w:val="18"/>
        </w:rPr>
        <w:t xml:space="preserve"> (section par défaut) </w:t>
      </w:r>
    </w:p>
    <w:p w:rsidR="009D2AF8" w:rsidRPr="005A1AD1" w:rsidRDefault="009D2AF8" w:rsidP="009D2AF8">
      <w:pPr>
        <w:pStyle w:val="Paragraphedeliste"/>
        <w:numPr>
          <w:ilvl w:val="0"/>
          <w:numId w:val="4"/>
        </w:numPr>
        <w:rPr>
          <w:rFonts w:ascii="Arial" w:hAnsi="Arial" w:cs="Arial"/>
          <w:color w:val="000000"/>
          <w:sz w:val="18"/>
        </w:rPr>
      </w:pPr>
      <w:r w:rsidRPr="005A1AD1">
        <w:rPr>
          <w:rFonts w:ascii="Arial" w:hAnsi="Arial" w:cs="Arial"/>
          <w:color w:val="000000"/>
          <w:sz w:val="18"/>
        </w:rPr>
        <w:t xml:space="preserve">95 mm² pour les antennes non évolutives limitées à 60 </w:t>
      </w:r>
      <w:proofErr w:type="spellStart"/>
      <w:r w:rsidRPr="005A1AD1">
        <w:rPr>
          <w:rFonts w:ascii="Arial" w:hAnsi="Arial" w:cs="Arial"/>
          <w:color w:val="000000"/>
          <w:sz w:val="18"/>
        </w:rPr>
        <w:t>kVA</w:t>
      </w:r>
      <w:proofErr w:type="spellEnd"/>
      <w:r w:rsidRPr="005A1AD1">
        <w:rPr>
          <w:rFonts w:ascii="Arial" w:hAnsi="Arial" w:cs="Arial"/>
          <w:color w:val="000000"/>
          <w:sz w:val="18"/>
        </w:rPr>
        <w:t xml:space="preserve">. </w:t>
      </w:r>
    </w:p>
    <w:p w:rsidR="009D2AF8" w:rsidRDefault="009D2AF8" w:rsidP="009D2AF8">
      <w:pPr>
        <w:rPr>
          <w:rFonts w:ascii="Arial" w:hAnsi="Arial" w:cs="Arial"/>
          <w:b/>
          <w:color w:val="000000"/>
          <w:sz w:val="18"/>
          <w:u w:val="single"/>
        </w:rPr>
      </w:pPr>
      <w:r w:rsidRPr="005A1AD1">
        <w:rPr>
          <w:rFonts w:ascii="Arial" w:hAnsi="Arial" w:cs="Arial"/>
        </w:rPr>
        <w:t xml:space="preserve"> </w:t>
      </w:r>
      <w:r w:rsidRPr="005A1AD1">
        <w:rPr>
          <w:rFonts w:ascii="Arial" w:hAnsi="Arial" w:cs="Arial"/>
          <w:b/>
          <w:color w:val="000000"/>
          <w:sz w:val="18"/>
        </w:rPr>
        <w:t xml:space="preserve">1.2.6  </w:t>
      </w:r>
      <w:r w:rsidRPr="005A1AD1">
        <w:rPr>
          <w:rFonts w:ascii="Arial" w:hAnsi="Arial" w:cs="Arial"/>
          <w:b/>
          <w:color w:val="000000"/>
          <w:sz w:val="18"/>
          <w:u w:val="single"/>
        </w:rPr>
        <w:t xml:space="preserve">Valeur maximale et calcul de la chute de tension dans les câbles réseaux  </w:t>
      </w:r>
    </w:p>
    <w:p w:rsidR="009D2AF8" w:rsidRPr="005A1AD1" w:rsidRDefault="009D2AF8" w:rsidP="009D2AF8">
      <w:pPr>
        <w:rPr>
          <w:rFonts w:ascii="Arial" w:hAnsi="Arial" w:cs="Arial"/>
          <w:color w:val="000000"/>
          <w:sz w:val="18"/>
        </w:rPr>
      </w:pPr>
      <w:r w:rsidRPr="005A1AD1">
        <w:rPr>
          <w:rFonts w:ascii="Arial" w:hAnsi="Arial" w:cs="Arial"/>
          <w:color w:val="000000"/>
          <w:sz w:val="18"/>
        </w:rPr>
        <w:t xml:space="preserve">Pour chaque tronçon, la formule ci-après est utilisée pour calculer la chute de tension.  </w:t>
      </w:r>
    </w:p>
    <w:p w:rsidR="009D2AF8" w:rsidRDefault="009D2AF8" w:rsidP="009D2AF8">
      <w:pPr>
        <w:jc w:val="both"/>
      </w:pPr>
      <w:r>
        <w:rPr>
          <w:noProof/>
          <w:lang w:eastAsia="fr-FR"/>
        </w:rPr>
        <w:drawing>
          <wp:inline distT="0" distB="0" distL="0" distR="0">
            <wp:extent cx="3223260" cy="734060"/>
            <wp:effectExtent l="19050" t="0" r="0" b="0"/>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1"/>
                    <a:srcRect/>
                    <a:stretch>
                      <a:fillRect/>
                    </a:stretch>
                  </pic:blipFill>
                  <pic:spPr bwMode="auto">
                    <a:xfrm>
                      <a:off x="0" y="0"/>
                      <a:ext cx="3223260" cy="734060"/>
                    </a:xfrm>
                    <a:prstGeom prst="rect">
                      <a:avLst/>
                    </a:prstGeom>
                    <a:noFill/>
                    <a:ln w="9525">
                      <a:noFill/>
                      <a:miter lim="800000"/>
                      <a:headEnd/>
                      <a:tailEnd/>
                    </a:ln>
                  </pic:spPr>
                </pic:pic>
              </a:graphicData>
            </a:graphic>
          </wp:inline>
        </w:drawing>
      </w:r>
    </w:p>
    <w:p w:rsidR="009D2AF8" w:rsidRPr="005A1AD1" w:rsidRDefault="009D2AF8" w:rsidP="009D2AF8">
      <w:pPr>
        <w:jc w:val="both"/>
        <w:rPr>
          <w:rFonts w:ascii="Arial" w:hAnsi="Arial" w:cs="Arial"/>
          <w:color w:val="000000"/>
          <w:sz w:val="18"/>
          <w:szCs w:val="18"/>
        </w:rPr>
      </w:pPr>
      <w:r w:rsidRPr="005A1AD1">
        <w:rPr>
          <w:rFonts w:ascii="Arial" w:hAnsi="Arial" w:cs="Arial"/>
          <w:color w:val="000000"/>
          <w:sz w:val="18"/>
          <w:szCs w:val="18"/>
        </w:rPr>
        <w:t xml:space="preserve">Avec : </w:t>
      </w:r>
    </w:p>
    <w:p w:rsidR="009D2AF8" w:rsidRPr="005A1AD1" w:rsidRDefault="009D2AF8" w:rsidP="009D2AF8">
      <w:pPr>
        <w:pStyle w:val="Paragraphedeliste"/>
        <w:numPr>
          <w:ilvl w:val="0"/>
          <w:numId w:val="5"/>
        </w:numPr>
        <w:rPr>
          <w:rFonts w:ascii="Arial" w:hAnsi="Arial" w:cs="Arial"/>
          <w:color w:val="000000"/>
          <w:sz w:val="18"/>
          <w:szCs w:val="18"/>
        </w:rPr>
      </w:pPr>
      <w:r w:rsidRPr="005A1AD1">
        <w:rPr>
          <w:rFonts w:ascii="Arial" w:hAnsi="Arial" w:cs="Arial"/>
          <w:b/>
          <w:color w:val="000000"/>
          <w:sz w:val="18"/>
          <w:szCs w:val="18"/>
        </w:rPr>
        <w:t>r1</w:t>
      </w:r>
      <w:r w:rsidRPr="005A1AD1">
        <w:rPr>
          <w:rFonts w:ascii="Arial" w:hAnsi="Arial" w:cs="Arial"/>
          <w:color w:val="000000"/>
          <w:sz w:val="18"/>
          <w:szCs w:val="18"/>
        </w:rPr>
        <w:t xml:space="preserve"> </w:t>
      </w:r>
      <w:proofErr w:type="gramStart"/>
      <w:r w:rsidRPr="005A1AD1">
        <w:rPr>
          <w:rFonts w:ascii="Arial" w:hAnsi="Arial" w:cs="Arial"/>
          <w:color w:val="000000"/>
          <w:sz w:val="18"/>
          <w:szCs w:val="18"/>
        </w:rPr>
        <w:t>:  résistance</w:t>
      </w:r>
      <w:proofErr w:type="gramEnd"/>
      <w:r w:rsidRPr="005A1AD1">
        <w:rPr>
          <w:rFonts w:ascii="Arial" w:hAnsi="Arial" w:cs="Arial"/>
          <w:color w:val="000000"/>
          <w:sz w:val="18"/>
          <w:szCs w:val="18"/>
        </w:rPr>
        <w:t xml:space="preserve"> linéique du conducteur à la température en service normal (Ω/ km)    (voir tableau § 0) </w:t>
      </w:r>
    </w:p>
    <w:p w:rsidR="009D2AF8" w:rsidRPr="005A1AD1" w:rsidRDefault="009D2AF8" w:rsidP="009D2AF8">
      <w:pPr>
        <w:pStyle w:val="Paragraphedeliste"/>
        <w:numPr>
          <w:ilvl w:val="0"/>
          <w:numId w:val="5"/>
        </w:numPr>
        <w:jc w:val="both"/>
        <w:rPr>
          <w:rFonts w:ascii="Arial" w:hAnsi="Arial" w:cs="Arial"/>
          <w:color w:val="000000"/>
          <w:sz w:val="18"/>
          <w:szCs w:val="18"/>
        </w:rPr>
      </w:pPr>
      <w:r w:rsidRPr="005A1AD1">
        <w:rPr>
          <w:rFonts w:ascii="Arial" w:hAnsi="Arial" w:cs="Arial"/>
          <w:b/>
          <w:color w:val="000000"/>
          <w:sz w:val="18"/>
          <w:szCs w:val="18"/>
        </w:rPr>
        <w:t>x</w:t>
      </w:r>
      <w:r w:rsidRPr="005A1AD1">
        <w:rPr>
          <w:rFonts w:ascii="Arial" w:hAnsi="Arial" w:cs="Arial"/>
          <w:color w:val="000000"/>
          <w:sz w:val="18"/>
          <w:szCs w:val="18"/>
        </w:rPr>
        <w:t xml:space="preserve"> </w:t>
      </w:r>
      <w:proofErr w:type="gramStart"/>
      <w:r w:rsidRPr="005A1AD1">
        <w:rPr>
          <w:rFonts w:ascii="Arial" w:hAnsi="Arial" w:cs="Arial"/>
          <w:color w:val="000000"/>
          <w:sz w:val="18"/>
          <w:szCs w:val="18"/>
        </w:rPr>
        <w:t>:  réactance</w:t>
      </w:r>
      <w:proofErr w:type="gramEnd"/>
      <w:r w:rsidRPr="005A1AD1">
        <w:rPr>
          <w:rFonts w:ascii="Arial" w:hAnsi="Arial" w:cs="Arial"/>
          <w:color w:val="000000"/>
          <w:sz w:val="18"/>
          <w:szCs w:val="18"/>
        </w:rPr>
        <w:t xml:space="preserve"> linéique du conducteur (Ω/ km), pour les câbles x = 0,08 Ω/ km ϕ :  déphasage (</w:t>
      </w:r>
      <w:proofErr w:type="spellStart"/>
      <w:r w:rsidRPr="005A1AD1">
        <w:rPr>
          <w:rFonts w:ascii="Arial" w:hAnsi="Arial" w:cs="Arial"/>
          <w:color w:val="000000"/>
          <w:sz w:val="18"/>
          <w:szCs w:val="18"/>
        </w:rPr>
        <w:t>cosϕ</w:t>
      </w:r>
      <w:proofErr w:type="spellEnd"/>
      <w:r w:rsidRPr="005A1AD1">
        <w:rPr>
          <w:rFonts w:ascii="Arial" w:hAnsi="Arial" w:cs="Arial"/>
          <w:color w:val="000000"/>
          <w:sz w:val="18"/>
          <w:szCs w:val="18"/>
        </w:rPr>
        <w:t xml:space="preserve"> par défaut égal à 0,928 pour le réseau d’un lotissement) S : puissance apparente transitée (</w:t>
      </w:r>
      <w:proofErr w:type="spellStart"/>
      <w:r w:rsidRPr="005A1AD1">
        <w:rPr>
          <w:rFonts w:ascii="Arial" w:hAnsi="Arial" w:cs="Arial"/>
          <w:color w:val="000000"/>
          <w:sz w:val="18"/>
          <w:szCs w:val="18"/>
        </w:rPr>
        <w:t>kVA</w:t>
      </w:r>
      <w:proofErr w:type="spellEnd"/>
      <w:r w:rsidRPr="005A1AD1">
        <w:rPr>
          <w:rFonts w:ascii="Arial" w:hAnsi="Arial" w:cs="Arial"/>
          <w:color w:val="000000"/>
          <w:sz w:val="18"/>
          <w:szCs w:val="18"/>
        </w:rPr>
        <w:t xml:space="preserve">) </w:t>
      </w:r>
    </w:p>
    <w:p w:rsidR="009D2AF8" w:rsidRPr="005A1AD1" w:rsidRDefault="009D2AF8" w:rsidP="009D2AF8">
      <w:pPr>
        <w:pStyle w:val="Paragraphedeliste"/>
        <w:numPr>
          <w:ilvl w:val="0"/>
          <w:numId w:val="5"/>
        </w:numPr>
        <w:jc w:val="both"/>
        <w:rPr>
          <w:rFonts w:ascii="Arial" w:hAnsi="Arial" w:cs="Arial"/>
          <w:color w:val="000000"/>
          <w:sz w:val="18"/>
          <w:szCs w:val="18"/>
        </w:rPr>
      </w:pPr>
      <w:r w:rsidRPr="005A1AD1">
        <w:rPr>
          <w:rFonts w:ascii="Arial" w:hAnsi="Arial" w:cs="Arial"/>
          <w:b/>
          <w:color w:val="000000"/>
          <w:sz w:val="18"/>
          <w:szCs w:val="18"/>
        </w:rPr>
        <w:t>L</w:t>
      </w:r>
      <w:r w:rsidRPr="005A1AD1">
        <w:rPr>
          <w:rFonts w:ascii="Arial" w:hAnsi="Arial" w:cs="Arial"/>
          <w:color w:val="000000"/>
          <w:sz w:val="18"/>
          <w:szCs w:val="18"/>
        </w:rPr>
        <w:t xml:space="preserve"> : longueur du conducteur (m) </w:t>
      </w:r>
    </w:p>
    <w:p w:rsidR="009D2AF8" w:rsidRPr="005A1AD1" w:rsidRDefault="009D2AF8" w:rsidP="009D2AF8">
      <w:pPr>
        <w:pStyle w:val="Paragraphedeliste"/>
        <w:numPr>
          <w:ilvl w:val="0"/>
          <w:numId w:val="5"/>
        </w:numPr>
        <w:jc w:val="both"/>
        <w:rPr>
          <w:rFonts w:ascii="Arial" w:hAnsi="Arial" w:cs="Arial"/>
          <w:color w:val="000000"/>
          <w:sz w:val="18"/>
          <w:szCs w:val="18"/>
        </w:rPr>
      </w:pPr>
      <w:r w:rsidRPr="005A1AD1">
        <w:rPr>
          <w:rFonts w:ascii="Arial" w:hAnsi="Arial" w:cs="Arial"/>
          <w:b/>
          <w:color w:val="000000"/>
          <w:sz w:val="18"/>
          <w:szCs w:val="18"/>
        </w:rPr>
        <w:t>Un</w:t>
      </w:r>
      <w:r w:rsidRPr="005A1AD1">
        <w:rPr>
          <w:rFonts w:ascii="Arial" w:hAnsi="Arial" w:cs="Arial"/>
          <w:color w:val="000000"/>
          <w:sz w:val="18"/>
          <w:szCs w:val="18"/>
        </w:rPr>
        <w:t xml:space="preserve"> : tension nominale entre phase (V), par défaut = 400 V </w:t>
      </w:r>
    </w:p>
    <w:p w:rsidR="009D2AF8" w:rsidRPr="005A1AD1" w:rsidRDefault="009D2AF8" w:rsidP="009D2AF8">
      <w:pPr>
        <w:jc w:val="both"/>
        <w:rPr>
          <w:rFonts w:ascii="Arial" w:hAnsi="Arial" w:cs="Arial"/>
          <w:color w:val="000000"/>
          <w:sz w:val="18"/>
        </w:rPr>
      </w:pPr>
      <w:r w:rsidRPr="005A1AD1">
        <w:rPr>
          <w:rFonts w:ascii="Arial" w:hAnsi="Arial" w:cs="Arial"/>
        </w:rPr>
        <w:t xml:space="preserve"> </w:t>
      </w:r>
      <w:r w:rsidRPr="005A1AD1">
        <w:rPr>
          <w:rFonts w:ascii="Arial" w:hAnsi="Arial" w:cs="Arial"/>
          <w:color w:val="000000"/>
          <w:sz w:val="18"/>
        </w:rPr>
        <w:t xml:space="preserve">Un exemple de calcul d'un lotissement est fourni en annexe 2. </w:t>
      </w:r>
    </w:p>
    <w:p w:rsidR="009D2AF8" w:rsidRPr="005A1AD1" w:rsidRDefault="009D2AF8" w:rsidP="009D2AF8">
      <w:pPr>
        <w:jc w:val="both"/>
        <w:rPr>
          <w:rFonts w:ascii="Arial" w:hAnsi="Arial" w:cs="Arial"/>
          <w:color w:val="000000"/>
          <w:sz w:val="32"/>
          <w:szCs w:val="32"/>
        </w:rPr>
      </w:pPr>
      <w:r w:rsidRPr="00C3306A">
        <w:rPr>
          <w:noProof/>
          <w:lang w:eastAsia="fr-FR"/>
        </w:rPr>
        <w:lastRenderedPageBreak/>
        <w:pict>
          <v:rect id="_x0000_s1033" style="position:absolute;left:0;text-align:left;margin-left:-32.7pt;margin-top:-43.75pt;width:520.4pt;height:782.05pt;z-index:251667456" filled="f"/>
        </w:pict>
      </w:r>
      <w:r>
        <w:t xml:space="preserve"> </w:t>
      </w:r>
      <w:r w:rsidRPr="005A1AD1">
        <w:rPr>
          <w:rFonts w:ascii="Arial" w:hAnsi="Arial" w:cs="Arial"/>
          <w:color w:val="000000"/>
          <w:sz w:val="32"/>
          <w:szCs w:val="32"/>
        </w:rPr>
        <w:t xml:space="preserve">2 - Branchements  </w:t>
      </w:r>
    </w:p>
    <w:p w:rsidR="009D2AF8" w:rsidRPr="005A1AD1" w:rsidRDefault="009D2AF8" w:rsidP="009D2AF8">
      <w:pPr>
        <w:jc w:val="both"/>
        <w:rPr>
          <w:rFonts w:ascii="Arial" w:hAnsi="Arial" w:cs="Arial"/>
          <w:b/>
          <w:color w:val="000000"/>
          <w:sz w:val="24"/>
          <w:szCs w:val="24"/>
        </w:rPr>
      </w:pPr>
      <w:r w:rsidRPr="005A1AD1">
        <w:rPr>
          <w:rFonts w:ascii="Arial" w:hAnsi="Arial" w:cs="Arial"/>
          <w:b/>
          <w:sz w:val="24"/>
          <w:szCs w:val="24"/>
        </w:rPr>
        <w:t xml:space="preserve"> </w:t>
      </w:r>
      <w:r w:rsidRPr="005A1AD1">
        <w:rPr>
          <w:rFonts w:ascii="Arial" w:hAnsi="Arial" w:cs="Arial"/>
          <w:b/>
          <w:color w:val="000000"/>
          <w:sz w:val="24"/>
          <w:szCs w:val="24"/>
        </w:rPr>
        <w:t xml:space="preserve">2.1  Paliers de puissance </w:t>
      </w:r>
    </w:p>
    <w:p w:rsidR="009D2AF8" w:rsidRPr="005A1AD1" w:rsidRDefault="009D2AF8" w:rsidP="009D2AF8">
      <w:pPr>
        <w:rPr>
          <w:rFonts w:ascii="Arial" w:hAnsi="Arial" w:cs="Arial"/>
          <w:color w:val="000000"/>
          <w:sz w:val="18"/>
        </w:rPr>
      </w:pPr>
      <w:r w:rsidRPr="005A1AD1">
        <w:rPr>
          <w:rFonts w:ascii="Arial" w:hAnsi="Arial" w:cs="Arial"/>
          <w:color w:val="000000"/>
          <w:sz w:val="18"/>
        </w:rPr>
        <w:t xml:space="preserve">Les branchements doivent être dimensionnés selon un des paliers de puissance portés dans le tableau ci-après.  </w:t>
      </w:r>
    </w:p>
    <w:p w:rsidR="009D2AF8" w:rsidRDefault="009D2AF8" w:rsidP="009D2AF8">
      <w:pPr>
        <w:jc w:val="both"/>
      </w:pPr>
      <w:r>
        <w:rPr>
          <w:noProof/>
          <w:lang w:eastAsia="fr-FR"/>
        </w:rPr>
        <w:drawing>
          <wp:inline distT="0" distB="0" distL="0" distR="0">
            <wp:extent cx="3194685" cy="1365885"/>
            <wp:effectExtent l="19050" t="0" r="5715" b="0"/>
            <wp:docPr id="6"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2"/>
                    <a:srcRect/>
                    <a:stretch>
                      <a:fillRect/>
                    </a:stretch>
                  </pic:blipFill>
                  <pic:spPr bwMode="auto">
                    <a:xfrm>
                      <a:off x="0" y="0"/>
                      <a:ext cx="3194685" cy="1365885"/>
                    </a:xfrm>
                    <a:prstGeom prst="rect">
                      <a:avLst/>
                    </a:prstGeom>
                    <a:noFill/>
                    <a:ln w="9525">
                      <a:noFill/>
                      <a:miter lim="800000"/>
                      <a:headEnd/>
                      <a:tailEnd/>
                    </a:ln>
                  </pic:spPr>
                </pic:pic>
              </a:graphicData>
            </a:graphic>
          </wp:inline>
        </w:drawing>
      </w:r>
      <w:r>
        <w:t xml:space="preserve"> </w:t>
      </w:r>
    </w:p>
    <w:p w:rsidR="009D2AF8" w:rsidRPr="005A1AD1" w:rsidRDefault="009D2AF8" w:rsidP="009D2AF8">
      <w:pPr>
        <w:rPr>
          <w:rFonts w:ascii="Arial" w:hAnsi="Arial" w:cs="Arial"/>
          <w:b/>
          <w:color w:val="000000"/>
          <w:sz w:val="24"/>
          <w:szCs w:val="24"/>
        </w:rPr>
      </w:pPr>
      <w:r w:rsidRPr="005A1AD1">
        <w:rPr>
          <w:rFonts w:ascii="Arial" w:hAnsi="Arial" w:cs="Arial"/>
          <w:b/>
          <w:color w:val="000000"/>
          <w:sz w:val="24"/>
          <w:szCs w:val="24"/>
        </w:rPr>
        <w:t>2.2  Formule de calcul de la chute de tension</w:t>
      </w:r>
    </w:p>
    <w:p w:rsidR="009D2AF8" w:rsidRDefault="009D2AF8" w:rsidP="009D2AF8">
      <w:pPr>
        <w:rPr>
          <w:rFonts w:ascii="Arial" w:hAnsi="Arial" w:cs="Arial"/>
          <w:color w:val="000000"/>
          <w:sz w:val="18"/>
        </w:rPr>
      </w:pPr>
      <w:r w:rsidRPr="005A1AD1">
        <w:rPr>
          <w:rFonts w:ascii="Arial" w:hAnsi="Arial" w:cs="Arial"/>
          <w:color w:val="000000"/>
          <w:sz w:val="28"/>
        </w:rPr>
        <w:t xml:space="preserve"> </w:t>
      </w:r>
      <w:r w:rsidRPr="005A1AD1">
        <w:rPr>
          <w:rFonts w:ascii="Arial" w:hAnsi="Arial" w:cs="Arial"/>
          <w:color w:val="000000"/>
          <w:sz w:val="18"/>
        </w:rPr>
        <w:t xml:space="preserve">La chute de tension dans un branchement est calculée avec la formule simplifiée suivante :  </w:t>
      </w:r>
    </w:p>
    <w:p w:rsidR="009D2AF8" w:rsidRDefault="009D2AF8" w:rsidP="009D2AF8">
      <w:pPr>
        <w:rPr>
          <w:rFonts w:ascii="Arial" w:hAnsi="Arial" w:cs="Arial"/>
          <w:color w:val="000000"/>
          <w:sz w:val="18"/>
        </w:rPr>
      </w:pPr>
      <w:r>
        <w:rPr>
          <w:rFonts w:ascii="Arial" w:hAnsi="Arial" w:cs="Arial"/>
          <w:noProof/>
          <w:color w:val="000000"/>
          <w:sz w:val="18"/>
          <w:lang w:eastAsia="fr-FR"/>
        </w:rPr>
        <w:drawing>
          <wp:inline distT="0" distB="0" distL="0" distR="0">
            <wp:extent cx="1287145" cy="581660"/>
            <wp:effectExtent l="19050" t="0" r="8255" b="0"/>
            <wp:docPr id="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3"/>
                    <a:srcRect/>
                    <a:stretch>
                      <a:fillRect/>
                    </a:stretch>
                  </pic:blipFill>
                  <pic:spPr bwMode="auto">
                    <a:xfrm>
                      <a:off x="0" y="0"/>
                      <a:ext cx="1287145" cy="581660"/>
                    </a:xfrm>
                    <a:prstGeom prst="rect">
                      <a:avLst/>
                    </a:prstGeom>
                    <a:noFill/>
                    <a:ln w="9525">
                      <a:noFill/>
                      <a:miter lim="800000"/>
                      <a:headEnd/>
                      <a:tailEnd/>
                    </a:ln>
                  </pic:spPr>
                </pic:pic>
              </a:graphicData>
            </a:graphic>
          </wp:inline>
        </w:drawing>
      </w:r>
    </w:p>
    <w:p w:rsidR="009D2AF8" w:rsidRPr="005A1AD1" w:rsidRDefault="009D2AF8" w:rsidP="009D2AF8">
      <w:pPr>
        <w:jc w:val="both"/>
        <w:rPr>
          <w:rFonts w:ascii="Arial" w:hAnsi="Arial" w:cs="Arial"/>
          <w:color w:val="000000"/>
          <w:sz w:val="18"/>
        </w:rPr>
      </w:pPr>
      <w:r w:rsidRPr="005A1AD1">
        <w:rPr>
          <w:rFonts w:ascii="Arial" w:hAnsi="Arial" w:cs="Arial"/>
          <w:color w:val="000000"/>
          <w:sz w:val="18"/>
        </w:rPr>
        <w:t xml:space="preserve">Avec : </w:t>
      </w:r>
    </w:p>
    <w:p w:rsidR="009D2AF8" w:rsidRPr="00C131D9" w:rsidRDefault="009D2AF8" w:rsidP="009D2AF8">
      <w:pPr>
        <w:pStyle w:val="Paragraphedeliste"/>
        <w:numPr>
          <w:ilvl w:val="0"/>
          <w:numId w:val="6"/>
        </w:numPr>
        <w:jc w:val="both"/>
        <w:rPr>
          <w:rFonts w:ascii="Arial" w:hAnsi="Arial" w:cs="Arial"/>
          <w:color w:val="000000"/>
          <w:sz w:val="18"/>
        </w:rPr>
      </w:pPr>
      <w:r w:rsidRPr="00C131D9">
        <w:rPr>
          <w:rFonts w:ascii="Arial" w:hAnsi="Arial" w:cs="Arial"/>
          <w:color w:val="000000"/>
          <w:sz w:val="18"/>
        </w:rPr>
        <w:t xml:space="preserve">u : chute de tension en volts </w:t>
      </w:r>
    </w:p>
    <w:p w:rsidR="009D2AF8" w:rsidRPr="00C131D9" w:rsidRDefault="009D2AF8" w:rsidP="009D2AF8">
      <w:pPr>
        <w:pStyle w:val="Paragraphedeliste"/>
        <w:numPr>
          <w:ilvl w:val="0"/>
          <w:numId w:val="6"/>
        </w:numPr>
        <w:jc w:val="both"/>
        <w:rPr>
          <w:rFonts w:ascii="Arial" w:hAnsi="Arial" w:cs="Arial"/>
          <w:color w:val="000000"/>
          <w:sz w:val="18"/>
        </w:rPr>
      </w:pPr>
      <w:r w:rsidRPr="00C131D9">
        <w:rPr>
          <w:rFonts w:ascii="Arial" w:hAnsi="Arial" w:cs="Arial"/>
          <w:color w:val="000000"/>
          <w:sz w:val="18"/>
        </w:rPr>
        <w:t xml:space="preserve">b : coefficient  </w:t>
      </w:r>
      <w:r w:rsidRPr="00C131D9">
        <w:rPr>
          <w:rFonts w:ascii="Arial" w:hAnsi="Arial" w:cs="Arial"/>
          <w:color w:val="000000"/>
          <w:sz w:val="18"/>
        </w:rPr>
        <w:tab/>
        <w:t xml:space="preserve">égal à 1 pour les circuits triphasés </w:t>
      </w:r>
    </w:p>
    <w:p w:rsidR="009D2AF8" w:rsidRPr="00C131D9" w:rsidRDefault="009D2AF8" w:rsidP="009D2AF8">
      <w:pPr>
        <w:ind w:left="2124"/>
        <w:jc w:val="both"/>
        <w:rPr>
          <w:rFonts w:ascii="Arial" w:hAnsi="Arial" w:cs="Arial"/>
          <w:color w:val="000000"/>
          <w:sz w:val="18"/>
        </w:rPr>
      </w:pPr>
      <w:proofErr w:type="gramStart"/>
      <w:r w:rsidRPr="00C131D9">
        <w:rPr>
          <w:rFonts w:ascii="Arial" w:hAnsi="Arial" w:cs="Arial"/>
          <w:color w:val="000000"/>
          <w:sz w:val="18"/>
        </w:rPr>
        <w:t>égal</w:t>
      </w:r>
      <w:proofErr w:type="gramEnd"/>
      <w:r w:rsidRPr="00C131D9">
        <w:rPr>
          <w:rFonts w:ascii="Arial" w:hAnsi="Arial" w:cs="Arial"/>
          <w:color w:val="000000"/>
          <w:sz w:val="18"/>
        </w:rPr>
        <w:t xml:space="preserve"> à 2 pour les circuits monophasés. </w:t>
      </w:r>
    </w:p>
    <w:p w:rsidR="009D2AF8" w:rsidRDefault="009D2AF8" w:rsidP="009D2AF8">
      <w:pPr>
        <w:pStyle w:val="Paragraphedeliste"/>
        <w:numPr>
          <w:ilvl w:val="0"/>
          <w:numId w:val="6"/>
        </w:numPr>
        <w:jc w:val="center"/>
        <w:rPr>
          <w:rFonts w:ascii="Arial" w:hAnsi="Arial" w:cs="Arial"/>
          <w:color w:val="000000"/>
          <w:sz w:val="18"/>
        </w:rPr>
      </w:pPr>
      <w:r w:rsidRPr="00C131D9">
        <w:rPr>
          <w:rFonts w:ascii="Arial" w:hAnsi="Arial" w:cs="Arial"/>
          <w:color w:val="000000"/>
          <w:sz w:val="18"/>
        </w:rPr>
        <w:t xml:space="preserve">ρ1 : résistivité des conducteurs en service normal, prise égale à la résistivité à la température en </w:t>
      </w:r>
      <w:r>
        <w:rPr>
          <w:rFonts w:ascii="Arial" w:hAnsi="Arial" w:cs="Arial"/>
          <w:color w:val="000000"/>
          <w:sz w:val="18"/>
          <w:szCs w:val="18"/>
        </w:rPr>
        <w:t xml:space="preserve">service </w:t>
      </w:r>
      <w:r w:rsidRPr="00C131D9">
        <w:rPr>
          <w:rFonts w:ascii="Arial" w:hAnsi="Arial" w:cs="Arial"/>
          <w:color w:val="000000"/>
          <w:sz w:val="18"/>
        </w:rPr>
        <w:t xml:space="preserve">normal, soit 1,25 fois la résistivité à 20°C, soit 0,023 Ωmm/m pour le cuivre et 0,037 </w:t>
      </w:r>
      <w:r w:rsidRPr="00C131D9">
        <w:rPr>
          <w:rFonts w:ascii="Arial" w:hAnsi="Arial" w:cs="Arial"/>
          <w:color w:val="000000"/>
          <w:sz w:val="18"/>
          <w:szCs w:val="18"/>
        </w:rPr>
        <w:t xml:space="preserve">Ωmm²/mm </w:t>
      </w:r>
      <w:r w:rsidRPr="00C131D9">
        <w:rPr>
          <w:rFonts w:ascii="Arial" w:hAnsi="Arial" w:cs="Arial"/>
          <w:color w:val="000000"/>
          <w:sz w:val="12"/>
        </w:rPr>
        <w:t xml:space="preserve"> </w:t>
      </w:r>
      <w:r w:rsidRPr="00C131D9">
        <w:rPr>
          <w:rFonts w:ascii="Arial" w:hAnsi="Arial" w:cs="Arial"/>
          <w:color w:val="000000"/>
          <w:sz w:val="18"/>
        </w:rPr>
        <w:t xml:space="preserve">pour </w:t>
      </w:r>
    </w:p>
    <w:p w:rsidR="009D2AF8" w:rsidRPr="00C131D9" w:rsidRDefault="009D2AF8" w:rsidP="009D2AF8">
      <w:pPr>
        <w:pStyle w:val="Paragraphedeliste"/>
        <w:rPr>
          <w:rFonts w:ascii="Arial" w:hAnsi="Arial" w:cs="Arial"/>
          <w:color w:val="000000"/>
          <w:sz w:val="18"/>
        </w:rPr>
      </w:pPr>
      <w:proofErr w:type="gramStart"/>
      <w:r w:rsidRPr="00C131D9">
        <w:rPr>
          <w:rFonts w:ascii="Arial" w:hAnsi="Arial" w:cs="Arial"/>
          <w:color w:val="000000"/>
          <w:sz w:val="18"/>
        </w:rPr>
        <w:t>l’aluminium</w:t>
      </w:r>
      <w:proofErr w:type="gramEnd"/>
      <w:r w:rsidRPr="00C131D9">
        <w:rPr>
          <w:rFonts w:ascii="Arial" w:hAnsi="Arial" w:cs="Arial"/>
          <w:color w:val="000000"/>
          <w:sz w:val="18"/>
        </w:rPr>
        <w:t xml:space="preserve">. </w:t>
      </w:r>
    </w:p>
    <w:p w:rsidR="009D2AF8" w:rsidRPr="00C131D9" w:rsidRDefault="009D2AF8" w:rsidP="009D2AF8">
      <w:pPr>
        <w:pStyle w:val="Paragraphedeliste"/>
        <w:numPr>
          <w:ilvl w:val="0"/>
          <w:numId w:val="6"/>
        </w:numPr>
        <w:jc w:val="both"/>
        <w:rPr>
          <w:rFonts w:ascii="Arial" w:hAnsi="Arial" w:cs="Arial"/>
          <w:color w:val="000000"/>
          <w:sz w:val="18"/>
        </w:rPr>
      </w:pPr>
      <w:r w:rsidRPr="00C131D9">
        <w:rPr>
          <w:rFonts w:ascii="Arial" w:hAnsi="Arial" w:cs="Arial"/>
          <w:color w:val="000000"/>
          <w:sz w:val="18"/>
        </w:rPr>
        <w:t xml:space="preserve">L : longueur simple de la canalisation en mètres, </w:t>
      </w:r>
    </w:p>
    <w:p w:rsidR="009D2AF8" w:rsidRPr="00C131D9" w:rsidRDefault="009D2AF8" w:rsidP="009D2AF8">
      <w:pPr>
        <w:pStyle w:val="Paragraphedeliste"/>
        <w:numPr>
          <w:ilvl w:val="0"/>
          <w:numId w:val="6"/>
        </w:numPr>
        <w:jc w:val="both"/>
        <w:rPr>
          <w:rFonts w:ascii="Arial" w:hAnsi="Arial" w:cs="Arial"/>
          <w:color w:val="000000"/>
          <w:sz w:val="18"/>
        </w:rPr>
      </w:pPr>
      <w:r w:rsidRPr="00C131D9">
        <w:rPr>
          <w:rFonts w:ascii="Arial" w:hAnsi="Arial" w:cs="Arial"/>
          <w:color w:val="000000"/>
          <w:sz w:val="18"/>
        </w:rPr>
        <w:t xml:space="preserve">S : section des conducteurs, en mm² </w:t>
      </w:r>
    </w:p>
    <w:p w:rsidR="009D2AF8" w:rsidRPr="00C131D9" w:rsidRDefault="009D2AF8" w:rsidP="009D2AF8">
      <w:pPr>
        <w:pStyle w:val="Paragraphedeliste"/>
        <w:numPr>
          <w:ilvl w:val="0"/>
          <w:numId w:val="6"/>
        </w:numPr>
        <w:jc w:val="both"/>
        <w:rPr>
          <w:rFonts w:ascii="Arial" w:hAnsi="Arial" w:cs="Arial"/>
          <w:color w:val="000000"/>
          <w:sz w:val="18"/>
        </w:rPr>
      </w:pPr>
      <w:proofErr w:type="spellStart"/>
      <w:r w:rsidRPr="00C131D9">
        <w:rPr>
          <w:rFonts w:ascii="Arial" w:hAnsi="Arial" w:cs="Arial"/>
          <w:color w:val="000000"/>
          <w:sz w:val="18"/>
        </w:rPr>
        <w:t>Ia</w:t>
      </w:r>
      <w:proofErr w:type="spellEnd"/>
      <w:r w:rsidRPr="00C131D9">
        <w:rPr>
          <w:rFonts w:ascii="Arial" w:hAnsi="Arial" w:cs="Arial"/>
          <w:color w:val="000000"/>
          <w:sz w:val="18"/>
        </w:rPr>
        <w:t xml:space="preserve"> : courant assigné en ampères. </w:t>
      </w:r>
    </w:p>
    <w:p w:rsidR="009D2AF8" w:rsidRPr="005A1AD1" w:rsidRDefault="009D2AF8" w:rsidP="009D2AF8">
      <w:pPr>
        <w:jc w:val="both"/>
        <w:rPr>
          <w:rFonts w:ascii="Arial" w:hAnsi="Arial" w:cs="Arial"/>
        </w:rPr>
      </w:pPr>
      <w:r w:rsidRPr="005A1AD1">
        <w:rPr>
          <w:rFonts w:ascii="Arial" w:hAnsi="Arial" w:cs="Arial"/>
        </w:rPr>
        <w:t xml:space="preserve"> </w:t>
      </w:r>
    </w:p>
    <w:p w:rsidR="009D2AF8" w:rsidRPr="005A1AD1" w:rsidRDefault="009D2AF8" w:rsidP="009D2AF8">
      <w:pPr>
        <w:jc w:val="both"/>
        <w:rPr>
          <w:rFonts w:ascii="Arial" w:hAnsi="Arial" w:cs="Arial"/>
          <w:color w:val="000000"/>
          <w:sz w:val="18"/>
        </w:rPr>
      </w:pPr>
      <w:r w:rsidRPr="005A1AD1">
        <w:rPr>
          <w:rFonts w:ascii="Arial" w:hAnsi="Arial" w:cs="Arial"/>
          <w:color w:val="000000"/>
          <w:sz w:val="18"/>
        </w:rPr>
        <w:t xml:space="preserve">La chute de tension relative (en %) est égale à  </w:t>
      </w:r>
    </w:p>
    <w:p w:rsidR="009D2AF8" w:rsidRDefault="009D2AF8" w:rsidP="009D2AF8">
      <w:pPr>
        <w:jc w:val="both"/>
      </w:pPr>
      <w:r>
        <w:t xml:space="preserve"> </w:t>
      </w:r>
      <w:r>
        <w:rPr>
          <w:noProof/>
          <w:lang w:eastAsia="fr-FR"/>
        </w:rPr>
        <w:drawing>
          <wp:inline distT="0" distB="0" distL="0" distR="0">
            <wp:extent cx="1755140" cy="632460"/>
            <wp:effectExtent l="19050" t="0" r="0" b="0"/>
            <wp:docPr id="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4"/>
                    <a:srcRect/>
                    <a:stretch>
                      <a:fillRect/>
                    </a:stretch>
                  </pic:blipFill>
                  <pic:spPr bwMode="auto">
                    <a:xfrm>
                      <a:off x="0" y="0"/>
                      <a:ext cx="1755140" cy="632460"/>
                    </a:xfrm>
                    <a:prstGeom prst="rect">
                      <a:avLst/>
                    </a:prstGeom>
                    <a:noFill/>
                    <a:ln w="9525">
                      <a:noFill/>
                      <a:miter lim="800000"/>
                      <a:headEnd/>
                      <a:tailEnd/>
                    </a:ln>
                  </pic:spPr>
                </pic:pic>
              </a:graphicData>
            </a:graphic>
          </wp:inline>
        </w:drawing>
      </w:r>
    </w:p>
    <w:p w:rsidR="009D2AF8" w:rsidRPr="00C131D9" w:rsidRDefault="009D2AF8" w:rsidP="009D2AF8">
      <w:pPr>
        <w:jc w:val="both"/>
        <w:rPr>
          <w:rFonts w:ascii="Arial" w:hAnsi="Arial" w:cs="Arial"/>
          <w:color w:val="000000"/>
          <w:sz w:val="18"/>
        </w:rPr>
      </w:pPr>
      <w:proofErr w:type="gramStart"/>
      <w:r w:rsidRPr="00C131D9">
        <w:rPr>
          <w:rFonts w:ascii="Arial" w:hAnsi="Arial" w:cs="Arial"/>
          <w:color w:val="000000"/>
          <w:sz w:val="18"/>
        </w:rPr>
        <w:t>avec</w:t>
      </w:r>
      <w:proofErr w:type="gramEnd"/>
      <w:r w:rsidRPr="00C131D9">
        <w:rPr>
          <w:rFonts w:ascii="Arial" w:hAnsi="Arial" w:cs="Arial"/>
          <w:color w:val="000000"/>
          <w:sz w:val="18"/>
        </w:rPr>
        <w:t xml:space="preserve"> U0 230 V (tension entre phase et neutre) </w:t>
      </w:r>
    </w:p>
    <w:p w:rsidR="009D2AF8" w:rsidRDefault="009D2AF8" w:rsidP="009D2AF8">
      <w:pPr>
        <w:jc w:val="both"/>
        <w:rPr>
          <w:rFonts w:ascii="Arial" w:hAnsi="Arial" w:cs="Arial"/>
          <w:b/>
          <w:color w:val="000000"/>
          <w:sz w:val="24"/>
          <w:szCs w:val="24"/>
        </w:rPr>
      </w:pPr>
    </w:p>
    <w:p w:rsidR="009D2AF8" w:rsidRDefault="009D2AF8" w:rsidP="009D2AF8">
      <w:pPr>
        <w:jc w:val="both"/>
        <w:rPr>
          <w:rFonts w:ascii="Arial" w:hAnsi="Arial" w:cs="Arial"/>
          <w:b/>
          <w:color w:val="000000"/>
          <w:sz w:val="24"/>
          <w:szCs w:val="24"/>
        </w:rPr>
      </w:pPr>
    </w:p>
    <w:p w:rsidR="009D2AF8" w:rsidRDefault="009D2AF8" w:rsidP="009D2AF8">
      <w:pPr>
        <w:jc w:val="both"/>
        <w:rPr>
          <w:rFonts w:ascii="Arial" w:hAnsi="Arial" w:cs="Arial"/>
          <w:b/>
          <w:color w:val="000000"/>
          <w:sz w:val="24"/>
          <w:szCs w:val="24"/>
        </w:rPr>
      </w:pPr>
    </w:p>
    <w:p w:rsidR="009D2AF8" w:rsidRDefault="009D2AF8" w:rsidP="009D2AF8">
      <w:pPr>
        <w:jc w:val="both"/>
        <w:rPr>
          <w:rFonts w:ascii="Arial" w:hAnsi="Arial" w:cs="Arial"/>
          <w:b/>
          <w:color w:val="000000"/>
          <w:sz w:val="24"/>
          <w:szCs w:val="24"/>
        </w:rPr>
      </w:pPr>
    </w:p>
    <w:p w:rsidR="009D2AF8" w:rsidRPr="00C131D9" w:rsidRDefault="009D2AF8" w:rsidP="009D2AF8">
      <w:pPr>
        <w:jc w:val="both"/>
        <w:rPr>
          <w:rFonts w:ascii="Arial" w:hAnsi="Arial" w:cs="Arial"/>
          <w:b/>
          <w:color w:val="000000"/>
          <w:sz w:val="24"/>
          <w:szCs w:val="24"/>
        </w:rPr>
      </w:pPr>
      <w:r>
        <w:rPr>
          <w:rFonts w:ascii="Arial" w:hAnsi="Arial" w:cs="Arial"/>
          <w:b/>
          <w:noProof/>
          <w:color w:val="000000"/>
          <w:sz w:val="24"/>
          <w:szCs w:val="24"/>
          <w:lang w:eastAsia="fr-FR"/>
        </w:rPr>
        <w:lastRenderedPageBreak/>
        <w:pict>
          <v:rect id="_x0000_s1034" style="position:absolute;left:0;text-align:left;margin-left:-30.55pt;margin-top:-43.75pt;width:520.4pt;height:782.05pt;z-index:251668480" filled="f"/>
        </w:pict>
      </w:r>
      <w:r w:rsidRPr="00C131D9">
        <w:rPr>
          <w:rFonts w:ascii="Arial" w:hAnsi="Arial" w:cs="Arial"/>
          <w:b/>
          <w:color w:val="000000"/>
          <w:sz w:val="24"/>
          <w:szCs w:val="24"/>
        </w:rPr>
        <w:t xml:space="preserve">2.3  Liaison au réseau </w:t>
      </w:r>
    </w:p>
    <w:p w:rsidR="009D2AF8" w:rsidRPr="00C131D9" w:rsidRDefault="009D2AF8" w:rsidP="009D2AF8">
      <w:pPr>
        <w:rPr>
          <w:rFonts w:ascii="Arial" w:hAnsi="Arial" w:cs="Arial"/>
          <w:sz w:val="18"/>
          <w:szCs w:val="18"/>
        </w:rPr>
      </w:pPr>
      <w:r w:rsidRPr="00C131D9">
        <w:rPr>
          <w:rFonts w:ascii="Arial" w:hAnsi="Arial" w:cs="Arial"/>
          <w:color w:val="000000"/>
          <w:sz w:val="18"/>
          <w:szCs w:val="18"/>
        </w:rPr>
        <w:t>La liaison au réseau  d'un branchement est constituée d'un câble à 4 conducteur</w:t>
      </w:r>
      <w:r>
        <w:rPr>
          <w:rFonts w:ascii="Arial" w:hAnsi="Arial" w:cs="Arial"/>
          <w:color w:val="000000"/>
          <w:sz w:val="18"/>
          <w:szCs w:val="18"/>
        </w:rPr>
        <w:t>s, d’une section minimale de 35</w:t>
      </w:r>
      <w:r w:rsidRPr="00C131D9">
        <w:rPr>
          <w:rFonts w:ascii="Arial" w:hAnsi="Arial" w:cs="Arial"/>
          <w:color w:val="000000"/>
          <w:sz w:val="18"/>
          <w:szCs w:val="18"/>
        </w:rPr>
        <w:t xml:space="preserve">mm², aluminium de type NF C 33-210 ou équivalent. </w:t>
      </w:r>
      <w:r w:rsidRPr="00C131D9">
        <w:rPr>
          <w:rFonts w:ascii="Arial" w:hAnsi="Arial" w:cs="Arial"/>
          <w:sz w:val="18"/>
          <w:szCs w:val="18"/>
        </w:rPr>
        <w:t xml:space="preserve"> </w:t>
      </w:r>
    </w:p>
    <w:p w:rsidR="009D2AF8" w:rsidRDefault="009D2AF8" w:rsidP="009D2AF8">
      <w:pPr>
        <w:rPr>
          <w:rFonts w:ascii="Arial" w:hAnsi="Arial" w:cs="Arial"/>
          <w:color w:val="000000"/>
          <w:sz w:val="18"/>
          <w:szCs w:val="18"/>
        </w:rPr>
      </w:pPr>
    </w:p>
    <w:p w:rsidR="009D2AF8" w:rsidRDefault="009D2AF8" w:rsidP="009D2AF8">
      <w:pPr>
        <w:rPr>
          <w:rFonts w:ascii="Arial" w:hAnsi="Arial" w:cs="Arial"/>
          <w:color w:val="000000"/>
          <w:sz w:val="18"/>
          <w:szCs w:val="18"/>
        </w:rPr>
      </w:pPr>
    </w:p>
    <w:p w:rsidR="009D2AF8" w:rsidRDefault="009D2AF8" w:rsidP="009D2AF8">
      <w:pPr>
        <w:rPr>
          <w:rFonts w:ascii="Arial" w:hAnsi="Arial" w:cs="Arial"/>
          <w:color w:val="000000"/>
          <w:sz w:val="18"/>
          <w:szCs w:val="18"/>
        </w:rPr>
      </w:pPr>
      <w:r w:rsidRPr="00C131D9">
        <w:rPr>
          <w:rFonts w:ascii="Arial" w:hAnsi="Arial" w:cs="Arial"/>
          <w:color w:val="000000"/>
          <w:sz w:val="18"/>
          <w:szCs w:val="18"/>
        </w:rPr>
        <w:t>Une liaison au réseau peut servir à l'alimentation de 2 parcelles, et dans ce cas :</w:t>
      </w:r>
    </w:p>
    <w:p w:rsidR="009D2AF8" w:rsidRPr="00C131D9" w:rsidRDefault="009D2AF8" w:rsidP="009D2AF8">
      <w:pPr>
        <w:pStyle w:val="Paragraphedeliste"/>
        <w:numPr>
          <w:ilvl w:val="0"/>
          <w:numId w:val="7"/>
        </w:numPr>
        <w:rPr>
          <w:rFonts w:ascii="Arial" w:hAnsi="Arial" w:cs="Arial"/>
          <w:color w:val="000000"/>
          <w:sz w:val="18"/>
          <w:szCs w:val="18"/>
        </w:rPr>
      </w:pPr>
      <w:r w:rsidRPr="00C131D9">
        <w:rPr>
          <w:rFonts w:ascii="Arial" w:hAnsi="Arial" w:cs="Arial"/>
          <w:color w:val="000000"/>
          <w:sz w:val="18"/>
          <w:szCs w:val="18"/>
        </w:rPr>
        <w:t xml:space="preserve">la puissance à prendre en compte pour la détermination de cette liaison, est la somme des puissances des 2 parcelles ;  </w:t>
      </w:r>
    </w:p>
    <w:p w:rsidR="009D2AF8" w:rsidRPr="00C131D9" w:rsidRDefault="009D2AF8" w:rsidP="009D2AF8">
      <w:pPr>
        <w:pStyle w:val="Paragraphedeliste"/>
        <w:numPr>
          <w:ilvl w:val="0"/>
          <w:numId w:val="7"/>
        </w:numPr>
        <w:rPr>
          <w:rFonts w:ascii="Arial" w:hAnsi="Arial" w:cs="Arial"/>
          <w:color w:val="000000"/>
          <w:sz w:val="18"/>
          <w:szCs w:val="18"/>
        </w:rPr>
      </w:pPr>
      <w:r w:rsidRPr="00C131D9">
        <w:rPr>
          <w:rFonts w:ascii="Arial" w:hAnsi="Arial" w:cs="Arial"/>
          <w:color w:val="000000"/>
          <w:sz w:val="18"/>
          <w:szCs w:val="18"/>
        </w:rPr>
        <w:t xml:space="preserve">il peut être nécessaire de choisir une section de câble de branchement de 50 mm² aluminium (voir la capacité des câbles dans le tableau du paragraphe 2.2.4). </w:t>
      </w:r>
    </w:p>
    <w:p w:rsidR="009D2AF8" w:rsidRPr="00C131D9" w:rsidRDefault="009D2AF8" w:rsidP="009D2AF8">
      <w:pPr>
        <w:rPr>
          <w:rFonts w:ascii="Arial" w:hAnsi="Arial" w:cs="Arial"/>
          <w:color w:val="000000"/>
          <w:sz w:val="18"/>
          <w:szCs w:val="18"/>
        </w:rPr>
      </w:pPr>
      <w:r w:rsidRPr="00C131D9">
        <w:rPr>
          <w:rFonts w:ascii="Arial" w:hAnsi="Arial" w:cs="Arial"/>
          <w:color w:val="000000"/>
          <w:sz w:val="18"/>
          <w:szCs w:val="18"/>
        </w:rPr>
        <w:t xml:space="preserve">Afin de laisser une marge suffisante pour la chute de tension dans la dérivation individuelle qui sera réalisée ultérieurement dans chaque parcelle, la chute de tension dans la liaison au réseau est limitée à 1%.  </w:t>
      </w:r>
    </w:p>
    <w:p w:rsidR="009D2AF8" w:rsidRDefault="009D2AF8" w:rsidP="009D2AF8">
      <w:pPr>
        <w:rPr>
          <w:rFonts w:ascii="Arial" w:hAnsi="Arial" w:cs="Arial"/>
          <w:color w:val="000000"/>
          <w:sz w:val="18"/>
          <w:szCs w:val="18"/>
        </w:rPr>
      </w:pPr>
      <w:r w:rsidRPr="00C131D9">
        <w:rPr>
          <w:rFonts w:ascii="Arial" w:hAnsi="Arial" w:cs="Arial"/>
          <w:color w:val="000000"/>
          <w:sz w:val="18"/>
          <w:szCs w:val="18"/>
        </w:rPr>
        <w:t xml:space="preserve">Selon ce calcul réalisé avec la formule indiquée au paragraphe 3.2 du présent document, la longueur maximale de la liaison au réseau pour un câble 4 x 35 mm² aluminium est la suivante :  </w:t>
      </w:r>
    </w:p>
    <w:p w:rsidR="009D2AF8" w:rsidRPr="00C131D9" w:rsidRDefault="009D2AF8" w:rsidP="009D2AF8">
      <w:pPr>
        <w:pStyle w:val="Paragraphedeliste"/>
        <w:numPr>
          <w:ilvl w:val="0"/>
          <w:numId w:val="8"/>
        </w:numPr>
        <w:rPr>
          <w:rFonts w:ascii="Arial" w:hAnsi="Arial" w:cs="Arial"/>
          <w:color w:val="000000"/>
          <w:sz w:val="18"/>
          <w:szCs w:val="18"/>
        </w:rPr>
      </w:pPr>
      <w:r w:rsidRPr="00C131D9">
        <w:rPr>
          <w:rFonts w:ascii="Arial" w:hAnsi="Arial" w:cs="Arial"/>
          <w:color w:val="000000"/>
          <w:sz w:val="18"/>
          <w:szCs w:val="18"/>
        </w:rPr>
        <w:t xml:space="preserve">Pour un branchement monophasé de 12 </w:t>
      </w:r>
      <w:proofErr w:type="spellStart"/>
      <w:r w:rsidRPr="00C131D9">
        <w:rPr>
          <w:rFonts w:ascii="Arial" w:hAnsi="Arial" w:cs="Arial"/>
          <w:color w:val="000000"/>
          <w:sz w:val="18"/>
          <w:szCs w:val="18"/>
        </w:rPr>
        <w:t>kVA</w:t>
      </w:r>
      <w:proofErr w:type="spellEnd"/>
      <w:r w:rsidRPr="00C131D9">
        <w:rPr>
          <w:rFonts w:ascii="Arial" w:hAnsi="Arial" w:cs="Arial"/>
          <w:color w:val="000000"/>
          <w:sz w:val="18"/>
          <w:szCs w:val="18"/>
        </w:rPr>
        <w:t xml:space="preserve"> : 18 mètres ; </w:t>
      </w:r>
    </w:p>
    <w:p w:rsidR="009D2AF8" w:rsidRPr="00C131D9" w:rsidRDefault="009D2AF8" w:rsidP="009D2AF8">
      <w:pPr>
        <w:pStyle w:val="Paragraphedeliste"/>
        <w:numPr>
          <w:ilvl w:val="0"/>
          <w:numId w:val="8"/>
        </w:numPr>
        <w:jc w:val="both"/>
        <w:rPr>
          <w:rFonts w:ascii="Arial" w:hAnsi="Arial" w:cs="Arial"/>
          <w:color w:val="000000"/>
          <w:sz w:val="18"/>
          <w:szCs w:val="18"/>
        </w:rPr>
      </w:pPr>
      <w:r w:rsidRPr="00C131D9">
        <w:rPr>
          <w:rFonts w:ascii="Arial" w:hAnsi="Arial" w:cs="Arial"/>
          <w:color w:val="000000"/>
          <w:sz w:val="18"/>
          <w:szCs w:val="18"/>
        </w:rPr>
        <w:t xml:space="preserve">Pour un branchement monophasé de 18 </w:t>
      </w:r>
      <w:proofErr w:type="spellStart"/>
      <w:r w:rsidRPr="00C131D9">
        <w:rPr>
          <w:rFonts w:ascii="Arial" w:hAnsi="Arial" w:cs="Arial"/>
          <w:color w:val="000000"/>
          <w:sz w:val="18"/>
          <w:szCs w:val="18"/>
        </w:rPr>
        <w:t>kVA</w:t>
      </w:r>
      <w:proofErr w:type="spellEnd"/>
      <w:r w:rsidRPr="00C131D9">
        <w:rPr>
          <w:rFonts w:ascii="Arial" w:hAnsi="Arial" w:cs="Arial"/>
          <w:color w:val="000000"/>
          <w:sz w:val="18"/>
          <w:szCs w:val="18"/>
        </w:rPr>
        <w:t xml:space="preserve"> : 12 mètres ; </w:t>
      </w:r>
    </w:p>
    <w:p w:rsidR="009D2AF8" w:rsidRPr="00C131D9" w:rsidRDefault="009D2AF8" w:rsidP="009D2AF8">
      <w:pPr>
        <w:pStyle w:val="Paragraphedeliste"/>
        <w:numPr>
          <w:ilvl w:val="0"/>
          <w:numId w:val="8"/>
        </w:numPr>
        <w:jc w:val="both"/>
        <w:rPr>
          <w:rFonts w:ascii="Arial" w:hAnsi="Arial" w:cs="Arial"/>
          <w:color w:val="000000"/>
          <w:sz w:val="18"/>
          <w:szCs w:val="18"/>
        </w:rPr>
      </w:pPr>
      <w:r w:rsidRPr="00C131D9">
        <w:rPr>
          <w:rFonts w:ascii="Arial" w:hAnsi="Arial" w:cs="Arial"/>
          <w:color w:val="000000"/>
          <w:sz w:val="18"/>
          <w:szCs w:val="18"/>
        </w:rPr>
        <w:t xml:space="preserve">Pour un branchement triphasé de 36 </w:t>
      </w:r>
      <w:proofErr w:type="spellStart"/>
      <w:r w:rsidRPr="00C131D9">
        <w:rPr>
          <w:rFonts w:ascii="Arial" w:hAnsi="Arial" w:cs="Arial"/>
          <w:color w:val="000000"/>
          <w:sz w:val="18"/>
          <w:szCs w:val="18"/>
        </w:rPr>
        <w:t>kVA</w:t>
      </w:r>
      <w:proofErr w:type="spellEnd"/>
      <w:r w:rsidRPr="00C131D9">
        <w:rPr>
          <w:rFonts w:ascii="Arial" w:hAnsi="Arial" w:cs="Arial"/>
          <w:color w:val="000000"/>
          <w:sz w:val="18"/>
          <w:szCs w:val="18"/>
        </w:rPr>
        <w:t xml:space="preserve"> : 36 mètres. </w:t>
      </w:r>
    </w:p>
    <w:p w:rsidR="009D2AF8" w:rsidRPr="00C131D9" w:rsidRDefault="009D2AF8" w:rsidP="009D2AF8">
      <w:pPr>
        <w:jc w:val="both"/>
        <w:rPr>
          <w:rFonts w:ascii="Arial" w:hAnsi="Arial" w:cs="Arial"/>
          <w:b/>
          <w:color w:val="000000"/>
          <w:sz w:val="24"/>
          <w:szCs w:val="24"/>
        </w:rPr>
      </w:pPr>
      <w:r w:rsidRPr="00C131D9">
        <w:rPr>
          <w:rFonts w:ascii="Arial" w:hAnsi="Arial" w:cs="Arial"/>
          <w:sz w:val="18"/>
          <w:szCs w:val="18"/>
        </w:rPr>
        <w:t xml:space="preserve"> </w:t>
      </w:r>
      <w:r w:rsidRPr="00C131D9">
        <w:rPr>
          <w:rFonts w:ascii="Arial" w:hAnsi="Arial" w:cs="Arial"/>
          <w:b/>
          <w:color w:val="000000"/>
          <w:sz w:val="24"/>
          <w:szCs w:val="24"/>
        </w:rPr>
        <w:t xml:space="preserve">2.4  Dérivation individuelle </w:t>
      </w:r>
    </w:p>
    <w:p w:rsidR="009D2AF8" w:rsidRPr="00C131D9" w:rsidRDefault="009D2AF8" w:rsidP="009D2AF8">
      <w:pPr>
        <w:rPr>
          <w:rFonts w:ascii="Arial" w:hAnsi="Arial" w:cs="Arial"/>
          <w:color w:val="000000"/>
          <w:sz w:val="18"/>
          <w:szCs w:val="18"/>
        </w:rPr>
      </w:pPr>
      <w:r w:rsidRPr="00C131D9">
        <w:rPr>
          <w:rFonts w:ascii="Arial" w:hAnsi="Arial" w:cs="Arial"/>
          <w:color w:val="000000"/>
          <w:sz w:val="18"/>
          <w:szCs w:val="18"/>
        </w:rPr>
        <w:t xml:space="preserve">La dérivation individuelle  se trouve dans un domaine privé ou dans une enceinte close. Son parcours ne doit  pas empiéter sur des domaines privés (terrains et locaux) autres que celui desservi.  </w:t>
      </w:r>
    </w:p>
    <w:p w:rsidR="009D2AF8" w:rsidRPr="00C131D9" w:rsidRDefault="009D2AF8" w:rsidP="009D2AF8">
      <w:pPr>
        <w:rPr>
          <w:rFonts w:ascii="Arial" w:hAnsi="Arial" w:cs="Arial"/>
          <w:color w:val="000000"/>
          <w:sz w:val="18"/>
        </w:rPr>
      </w:pPr>
      <w:r w:rsidRPr="00C131D9">
        <w:rPr>
          <w:rFonts w:ascii="Arial" w:hAnsi="Arial" w:cs="Arial"/>
          <w:color w:val="000000"/>
          <w:sz w:val="18"/>
        </w:rPr>
        <w:t xml:space="preserve">La détermination du nombre de conducteurs est faite par le gestionnaire du réseau de distribution en tenant compte des besoins de l’utilisateur et des caractéristiques du réseau. Le câble est posé sous fourreau. </w:t>
      </w:r>
    </w:p>
    <w:p w:rsidR="009D2AF8" w:rsidRPr="00C131D9" w:rsidRDefault="009D2AF8" w:rsidP="009D2AF8">
      <w:pPr>
        <w:jc w:val="both"/>
        <w:rPr>
          <w:rFonts w:ascii="Arial" w:hAnsi="Arial" w:cs="Arial"/>
          <w:color w:val="000000"/>
          <w:sz w:val="18"/>
        </w:rPr>
      </w:pPr>
      <w:r w:rsidRPr="00C131D9">
        <w:rPr>
          <w:rFonts w:ascii="Arial" w:hAnsi="Arial" w:cs="Arial"/>
          <w:color w:val="000000"/>
          <w:sz w:val="18"/>
        </w:rPr>
        <w:t xml:space="preserve">Partie de branchement reliant le point de raccordement au réseau au premier appareil de sectionnement ou  de protection du branchement ; ce premier appareil fait partie de la liaison au réseau. </w:t>
      </w:r>
    </w:p>
    <w:p w:rsidR="009D2AF8" w:rsidRPr="00C131D9" w:rsidRDefault="009D2AF8" w:rsidP="009D2AF8">
      <w:pPr>
        <w:jc w:val="both"/>
        <w:rPr>
          <w:rFonts w:ascii="Arial" w:hAnsi="Arial" w:cs="Arial"/>
          <w:b/>
          <w:color w:val="000000"/>
          <w:sz w:val="24"/>
          <w:szCs w:val="24"/>
        </w:rPr>
      </w:pPr>
      <w:r w:rsidRPr="00C131D9">
        <w:rPr>
          <w:rFonts w:ascii="Arial" w:hAnsi="Arial" w:cs="Arial"/>
          <w:b/>
          <w:color w:val="000000"/>
          <w:sz w:val="24"/>
          <w:szCs w:val="24"/>
        </w:rPr>
        <w:t xml:space="preserve">2.5 Schémas électriques de branchement </w:t>
      </w:r>
    </w:p>
    <w:p w:rsidR="009D2AF8" w:rsidRPr="00C131D9" w:rsidRDefault="009D2AF8" w:rsidP="009D2AF8">
      <w:pPr>
        <w:rPr>
          <w:rFonts w:ascii="Arial" w:hAnsi="Arial" w:cs="Arial"/>
          <w:color w:val="000000"/>
          <w:sz w:val="18"/>
        </w:rPr>
      </w:pPr>
      <w:r w:rsidRPr="00C131D9">
        <w:rPr>
          <w:rFonts w:ascii="Arial" w:hAnsi="Arial" w:cs="Arial"/>
          <w:color w:val="000000"/>
          <w:sz w:val="18"/>
        </w:rPr>
        <w:t xml:space="preserve">Conformément à la norme NF C 14-100, si la disposition des lieux permet de placer le point de livraison dans les locaux de l'utilisateur sans que la longueur de la dérivation individuelle excède 30 mètres, ce branchement est de type 1. Un dispositif de sectionnement protection est installé en général en limite de parcelle, ou si tel n'est pas le cas, de façon à ce que cet équipement soit directement accessible depuis le domaine public sans franchissement d'accès contrôlé. L’AGCP est positionné chez le client.  </w:t>
      </w:r>
    </w:p>
    <w:p w:rsidR="009D2AF8" w:rsidRPr="00C131D9" w:rsidRDefault="009D2AF8" w:rsidP="009D2AF8">
      <w:pPr>
        <w:rPr>
          <w:rFonts w:ascii="Arial" w:hAnsi="Arial" w:cs="Arial"/>
          <w:color w:val="000000"/>
          <w:sz w:val="18"/>
        </w:rPr>
      </w:pPr>
      <w:r w:rsidRPr="00C131D9">
        <w:rPr>
          <w:rFonts w:ascii="Arial" w:hAnsi="Arial" w:cs="Arial"/>
          <w:color w:val="000000"/>
          <w:sz w:val="18"/>
        </w:rPr>
        <w:t xml:space="preserve">Si les conditions d'un branchement de type 1 ne sont pas réunies, le branchement est de type 2. Une borne ou un coffret, contenant le compteur et l'AGCP du branchement, est implanté au dos ou à proximité du dispositif de sectionnement protection. </w:t>
      </w:r>
    </w:p>
    <w:p w:rsidR="009D2AF8" w:rsidRPr="00C131D9" w:rsidRDefault="009D2AF8" w:rsidP="009D2AF8">
      <w:pPr>
        <w:rPr>
          <w:rFonts w:ascii="Arial" w:hAnsi="Arial" w:cs="Arial"/>
          <w:color w:val="000000"/>
          <w:sz w:val="18"/>
        </w:rPr>
      </w:pPr>
      <w:r w:rsidRPr="00C131D9">
        <w:rPr>
          <w:rFonts w:ascii="Arial" w:hAnsi="Arial" w:cs="Arial"/>
        </w:rPr>
        <w:t xml:space="preserve"> </w:t>
      </w:r>
      <w:r w:rsidRPr="00C131D9">
        <w:rPr>
          <w:rFonts w:ascii="Arial" w:hAnsi="Arial" w:cs="Arial"/>
          <w:color w:val="000000"/>
          <w:sz w:val="18"/>
        </w:rPr>
        <w:t xml:space="preserve">Dans le choix de la  structure et du positionnement du réseau basse tension, il faut veiller à limiter à 2% la chute de tension sur la totalité du branchement (liaison réseau + dérivation individuelle).  </w:t>
      </w:r>
    </w:p>
    <w:p w:rsidR="009D2AF8" w:rsidRPr="00C131D9" w:rsidRDefault="009D2AF8" w:rsidP="009D2AF8">
      <w:pPr>
        <w:rPr>
          <w:rFonts w:ascii="Arial" w:hAnsi="Arial" w:cs="Arial"/>
          <w:color w:val="000000"/>
          <w:sz w:val="18"/>
        </w:rPr>
      </w:pPr>
      <w:r w:rsidRPr="00C131D9">
        <w:rPr>
          <w:rFonts w:ascii="Arial" w:hAnsi="Arial" w:cs="Arial"/>
          <w:color w:val="000000"/>
          <w:sz w:val="18"/>
        </w:rPr>
        <w:t xml:space="preserve">Ces données sont déterminantes pour le choix des matériels (voir chapitre 7). </w:t>
      </w:r>
    </w:p>
    <w:p w:rsidR="009D2AF8" w:rsidRPr="00C131D9" w:rsidRDefault="009D2AF8" w:rsidP="009D2AF8">
      <w:pPr>
        <w:jc w:val="both"/>
        <w:rPr>
          <w:rFonts w:ascii="Arial" w:hAnsi="Arial" w:cs="Arial"/>
          <w:b/>
          <w:color w:val="000000"/>
          <w:sz w:val="24"/>
          <w:szCs w:val="24"/>
        </w:rPr>
      </w:pPr>
      <w:r w:rsidRPr="00C131D9">
        <w:rPr>
          <w:rFonts w:ascii="Arial" w:hAnsi="Arial" w:cs="Arial"/>
          <w:b/>
          <w:color w:val="000000"/>
          <w:sz w:val="24"/>
          <w:szCs w:val="24"/>
        </w:rPr>
        <w:t xml:space="preserve">2.6  Câbles de branchement </w:t>
      </w:r>
    </w:p>
    <w:p w:rsidR="009D2AF8" w:rsidRPr="00C131D9" w:rsidRDefault="009D2AF8" w:rsidP="009D2AF8">
      <w:pPr>
        <w:rPr>
          <w:rFonts w:ascii="Arial" w:hAnsi="Arial" w:cs="Arial"/>
          <w:color w:val="000000"/>
          <w:sz w:val="18"/>
        </w:rPr>
      </w:pPr>
      <w:r w:rsidRPr="00C131D9">
        <w:rPr>
          <w:rFonts w:ascii="Arial" w:hAnsi="Arial" w:cs="Arial"/>
          <w:color w:val="000000"/>
          <w:sz w:val="18"/>
        </w:rPr>
        <w:t xml:space="preserve">Conformément à la norme NF C 14-100, </w:t>
      </w:r>
      <w:proofErr w:type="gramStart"/>
      <w:r w:rsidRPr="00C131D9">
        <w:rPr>
          <w:rFonts w:ascii="Arial" w:hAnsi="Arial" w:cs="Arial"/>
          <w:color w:val="000000"/>
          <w:sz w:val="18"/>
        </w:rPr>
        <w:t>le</w:t>
      </w:r>
      <w:proofErr w:type="gramEnd"/>
      <w:r w:rsidRPr="00C131D9">
        <w:rPr>
          <w:rFonts w:ascii="Arial" w:hAnsi="Arial" w:cs="Arial"/>
          <w:color w:val="000000"/>
          <w:sz w:val="18"/>
        </w:rPr>
        <w:t xml:space="preserve"> chute de tension maximale dans l'ensemble du branchement (liaison au réseau + dérivation individuelle) est limitée à 2%. </w:t>
      </w:r>
    </w:p>
    <w:p w:rsidR="009D2AF8" w:rsidRDefault="009D2AF8" w:rsidP="009D2AF8">
      <w:pPr>
        <w:jc w:val="both"/>
        <w:rPr>
          <w:rFonts w:ascii="Arial" w:hAnsi="Arial" w:cs="Arial"/>
          <w:b/>
        </w:rPr>
      </w:pPr>
    </w:p>
    <w:p w:rsidR="009D2AF8" w:rsidRPr="00C915ED" w:rsidRDefault="009D2AF8" w:rsidP="009D2AF8">
      <w:pPr>
        <w:rPr>
          <w:rFonts w:ascii="Arial" w:hAnsi="Arial" w:cs="Arial"/>
          <w:color w:val="000000"/>
          <w:sz w:val="32"/>
          <w:szCs w:val="32"/>
        </w:rPr>
      </w:pPr>
      <w:r>
        <w:rPr>
          <w:rFonts w:ascii="Arial" w:hAnsi="Arial" w:cs="Arial"/>
          <w:noProof/>
          <w:color w:val="000000"/>
          <w:sz w:val="32"/>
          <w:szCs w:val="32"/>
          <w:lang w:eastAsia="fr-FR"/>
        </w:rPr>
        <w:lastRenderedPageBreak/>
        <w:pict>
          <v:rect id="_x0000_s1035" style="position:absolute;margin-left:-29.15pt;margin-top:-35.35pt;width:520.4pt;height:782.05pt;z-index:251669504" filled="f"/>
        </w:pict>
      </w:r>
      <w:r>
        <w:rPr>
          <w:rFonts w:ascii="Arial" w:hAnsi="Arial" w:cs="Arial"/>
          <w:color w:val="000000"/>
          <w:sz w:val="32"/>
          <w:szCs w:val="32"/>
        </w:rPr>
        <w:t>4</w:t>
      </w:r>
      <w:r w:rsidRPr="00C915ED">
        <w:rPr>
          <w:rFonts w:ascii="Arial" w:hAnsi="Arial" w:cs="Arial"/>
          <w:color w:val="000000"/>
          <w:sz w:val="32"/>
          <w:szCs w:val="32"/>
        </w:rPr>
        <w:t xml:space="preserve"> –</w:t>
      </w:r>
      <w:r>
        <w:rPr>
          <w:rFonts w:ascii="Arial" w:hAnsi="Arial" w:cs="Arial"/>
          <w:color w:val="000000"/>
          <w:sz w:val="32"/>
          <w:szCs w:val="32"/>
        </w:rPr>
        <w:t xml:space="preserve"> </w:t>
      </w:r>
      <w:r w:rsidRPr="00C915ED">
        <w:rPr>
          <w:rFonts w:ascii="Arial" w:hAnsi="Arial" w:cs="Arial"/>
          <w:color w:val="000000"/>
          <w:sz w:val="32"/>
          <w:szCs w:val="32"/>
        </w:rPr>
        <w:t>Mise à la terre du conducteur neutre du réseau</w:t>
      </w:r>
    </w:p>
    <w:p w:rsidR="009D2AF8" w:rsidRPr="00C915ED" w:rsidRDefault="009D2AF8" w:rsidP="009D2AF8">
      <w:pPr>
        <w:rPr>
          <w:rFonts w:ascii="Arial" w:hAnsi="Arial" w:cs="Arial"/>
          <w:color w:val="000000"/>
          <w:sz w:val="18"/>
        </w:rPr>
      </w:pPr>
      <w:r w:rsidRPr="00C915ED">
        <w:rPr>
          <w:rFonts w:ascii="Arial" w:hAnsi="Arial" w:cs="Arial"/>
          <w:color w:val="000000"/>
          <w:sz w:val="18"/>
        </w:rPr>
        <w:t xml:space="preserve">Le conducteur neutre est mis à la terre à chaque accessoire du réseau, que cet accessoire soit du type souterrain ou en émergence : </w:t>
      </w:r>
    </w:p>
    <w:p w:rsidR="009D2AF8" w:rsidRPr="00C915ED" w:rsidRDefault="009D2AF8" w:rsidP="009D2AF8">
      <w:pPr>
        <w:pStyle w:val="Paragraphedeliste"/>
        <w:numPr>
          <w:ilvl w:val="0"/>
          <w:numId w:val="9"/>
        </w:numPr>
        <w:rPr>
          <w:rFonts w:ascii="Arial" w:hAnsi="Arial" w:cs="Arial"/>
          <w:color w:val="000000"/>
          <w:sz w:val="18"/>
        </w:rPr>
      </w:pPr>
      <w:r w:rsidRPr="00C915ED">
        <w:rPr>
          <w:rFonts w:ascii="Arial" w:hAnsi="Arial" w:cs="Arial"/>
          <w:color w:val="000000"/>
          <w:sz w:val="18"/>
        </w:rPr>
        <w:t xml:space="preserve">à chaque accessoire souterrain de jonction ou de dérivation, la prise de terre est réalisée par un conducteur nu en cuivre. Ce dernier </w:t>
      </w:r>
      <w:proofErr w:type="gramStart"/>
      <w:r w:rsidRPr="00C915ED">
        <w:rPr>
          <w:rFonts w:ascii="Arial" w:hAnsi="Arial" w:cs="Arial"/>
          <w:color w:val="000000"/>
          <w:sz w:val="18"/>
        </w:rPr>
        <w:t>a</w:t>
      </w:r>
      <w:proofErr w:type="gramEnd"/>
      <w:r w:rsidRPr="00C915ED">
        <w:rPr>
          <w:rFonts w:ascii="Arial" w:hAnsi="Arial" w:cs="Arial"/>
          <w:color w:val="000000"/>
          <w:sz w:val="18"/>
        </w:rPr>
        <w:t xml:space="preserve"> une section minimale de 25 mm2 et est disposé en fond de fouille directement en contact avec le sol ; </w:t>
      </w:r>
    </w:p>
    <w:p w:rsidR="009D2AF8" w:rsidRDefault="009D2AF8" w:rsidP="009D2AF8">
      <w:pPr>
        <w:pStyle w:val="Paragraphedeliste"/>
        <w:numPr>
          <w:ilvl w:val="0"/>
          <w:numId w:val="9"/>
        </w:numPr>
        <w:rPr>
          <w:rFonts w:ascii="Arial" w:hAnsi="Arial" w:cs="Arial"/>
          <w:color w:val="000000"/>
          <w:sz w:val="18"/>
        </w:rPr>
      </w:pPr>
      <w:r w:rsidRPr="00C915ED">
        <w:rPr>
          <w:rFonts w:ascii="Arial" w:hAnsi="Arial" w:cs="Arial"/>
          <w:color w:val="000000"/>
          <w:sz w:val="18"/>
        </w:rPr>
        <w:t>à chaque émergence (grille d’étoilement, fausse coupure, coffret de sectionnement coupure, REMBT), la prise de terre est réalisée de préférence, par une grille 2 x 0,4 mètres posée en fond de tranchée. En cas d’impossibilité, elle est constituée de piquets, dont la tête est à 0,8 m de profondeur. Cette mise à la terre doit être effectuée sur le conducteur neutre du câble « arrivée » du poste HTA/BT ;</w:t>
      </w:r>
    </w:p>
    <w:p w:rsidR="009D2AF8" w:rsidRPr="00C915ED" w:rsidRDefault="009D2AF8" w:rsidP="009D2AF8">
      <w:pPr>
        <w:pStyle w:val="Paragraphedeliste"/>
        <w:numPr>
          <w:ilvl w:val="0"/>
          <w:numId w:val="10"/>
        </w:numPr>
        <w:rPr>
          <w:rFonts w:ascii="Arial" w:hAnsi="Arial" w:cs="Arial"/>
          <w:color w:val="000000"/>
          <w:sz w:val="18"/>
        </w:rPr>
      </w:pPr>
      <w:r w:rsidRPr="00C915ED">
        <w:rPr>
          <w:rFonts w:ascii="Arial" w:hAnsi="Arial" w:cs="Arial"/>
          <w:color w:val="000000"/>
          <w:sz w:val="18"/>
        </w:rPr>
        <w:t xml:space="preserve"> A l'intérieur d'une émergence réseau, la mise à la terre s'effectue sur le conducteur neutre du câble "arrivée'' du  poste HTA/BT" et non sur l'accessoire ; </w:t>
      </w:r>
    </w:p>
    <w:p w:rsidR="009D2AF8" w:rsidRPr="00C915ED" w:rsidRDefault="009D2AF8" w:rsidP="009D2AF8">
      <w:pPr>
        <w:pStyle w:val="Paragraphedeliste"/>
        <w:numPr>
          <w:ilvl w:val="0"/>
          <w:numId w:val="10"/>
        </w:numPr>
        <w:rPr>
          <w:rFonts w:ascii="Arial" w:hAnsi="Arial" w:cs="Arial"/>
          <w:color w:val="000000"/>
          <w:sz w:val="18"/>
        </w:rPr>
      </w:pPr>
      <w:r w:rsidRPr="00C915ED">
        <w:rPr>
          <w:rFonts w:ascii="Arial" w:hAnsi="Arial" w:cs="Arial"/>
          <w:color w:val="000000"/>
          <w:sz w:val="18"/>
        </w:rPr>
        <w:t xml:space="preserve">La valeur individuelle maximale d'une prise de terre du neutre est de 50 ohms ; </w:t>
      </w:r>
    </w:p>
    <w:p w:rsidR="009D2AF8" w:rsidRPr="00C915ED" w:rsidRDefault="009D2AF8" w:rsidP="009D2AF8">
      <w:pPr>
        <w:pStyle w:val="Paragraphedeliste"/>
        <w:numPr>
          <w:ilvl w:val="0"/>
          <w:numId w:val="10"/>
        </w:numPr>
        <w:rPr>
          <w:rFonts w:ascii="Arial" w:hAnsi="Arial" w:cs="Arial"/>
          <w:color w:val="000000"/>
          <w:sz w:val="18"/>
        </w:rPr>
      </w:pPr>
      <w:r w:rsidRPr="00C915ED">
        <w:rPr>
          <w:rFonts w:ascii="Arial" w:hAnsi="Arial" w:cs="Arial"/>
          <w:color w:val="000000"/>
          <w:sz w:val="18"/>
        </w:rPr>
        <w:t>Les valeurs des différentes mises à la terre et de leur éventuel couplage doivent être mesurées et leurs  valeurs portées dans le rapp</w:t>
      </w:r>
      <w:r>
        <w:rPr>
          <w:rFonts w:ascii="Arial" w:hAnsi="Arial" w:cs="Arial"/>
          <w:color w:val="000000"/>
          <w:sz w:val="18"/>
        </w:rPr>
        <w:t>ort d’</w:t>
      </w:r>
      <w:proofErr w:type="spellStart"/>
      <w:r>
        <w:rPr>
          <w:rFonts w:ascii="Arial" w:hAnsi="Arial" w:cs="Arial"/>
          <w:color w:val="000000"/>
          <w:sz w:val="18"/>
        </w:rPr>
        <w:t>auto-contrôle</w:t>
      </w:r>
      <w:proofErr w:type="spellEnd"/>
      <w:r>
        <w:rPr>
          <w:rFonts w:ascii="Arial" w:hAnsi="Arial" w:cs="Arial"/>
          <w:color w:val="000000"/>
          <w:sz w:val="18"/>
        </w:rPr>
        <w:t xml:space="preserve"> </w:t>
      </w:r>
    </w:p>
    <w:p w:rsidR="009D2AF8" w:rsidRPr="00C915ED" w:rsidRDefault="009D2AF8" w:rsidP="009D2AF8">
      <w:pPr>
        <w:rPr>
          <w:rFonts w:ascii="Arial" w:hAnsi="Arial" w:cs="Arial"/>
          <w:b/>
          <w:color w:val="000000"/>
          <w:sz w:val="18"/>
        </w:rPr>
      </w:pPr>
      <w:r w:rsidRPr="00C915ED">
        <w:rPr>
          <w:rFonts w:ascii="Arial" w:hAnsi="Arial" w:cs="Arial"/>
          <w:b/>
        </w:rPr>
        <w:t xml:space="preserve"> </w:t>
      </w:r>
      <w:r w:rsidRPr="00C915ED">
        <w:rPr>
          <w:rFonts w:ascii="Arial" w:hAnsi="Arial" w:cs="Arial"/>
          <w:b/>
          <w:color w:val="000000"/>
          <w:sz w:val="18"/>
        </w:rPr>
        <w:t xml:space="preserve">Valeurs de la prise de terre globale du neutre BT pour un lotissement comprenant un poste HTA/BT :   </w:t>
      </w:r>
    </w:p>
    <w:p w:rsidR="009D2AF8" w:rsidRPr="00C915ED" w:rsidRDefault="009D2AF8" w:rsidP="009D2AF8">
      <w:pPr>
        <w:rPr>
          <w:rFonts w:ascii="Arial" w:hAnsi="Arial" w:cs="Arial"/>
          <w:color w:val="000000"/>
          <w:sz w:val="18"/>
        </w:rPr>
      </w:pPr>
      <w:r w:rsidRPr="00C915ED">
        <w:rPr>
          <w:rFonts w:ascii="Arial" w:hAnsi="Arial" w:cs="Arial"/>
          <w:color w:val="000000"/>
          <w:sz w:val="18"/>
        </w:rPr>
        <w:t xml:space="preserve">Dans une zone urbaine ou périurbaine (avec prises de terre des masses HTA et du neutre BT interconnectées après réalisation), la valeur de la prise de terre globale du neutre BT avant interconnexion doit être respectivement de 5 Ω pour un régime de neutre HTA cible de 1000A et de 15 Ω pour un régime de neutre HTA cible de 300 et 150A. </w:t>
      </w:r>
    </w:p>
    <w:p w:rsidR="009D2AF8" w:rsidRPr="00C915ED" w:rsidRDefault="009D2AF8" w:rsidP="009D2AF8">
      <w:pPr>
        <w:rPr>
          <w:rFonts w:ascii="Arial" w:hAnsi="Arial" w:cs="Arial"/>
          <w:color w:val="000000"/>
          <w:sz w:val="18"/>
        </w:rPr>
      </w:pPr>
      <w:r w:rsidRPr="00C915ED">
        <w:rPr>
          <w:rFonts w:ascii="Arial" w:hAnsi="Arial" w:cs="Arial"/>
        </w:rPr>
        <w:t xml:space="preserve"> </w:t>
      </w:r>
      <w:r w:rsidRPr="00C915ED">
        <w:rPr>
          <w:rFonts w:ascii="Arial" w:hAnsi="Arial" w:cs="Arial"/>
          <w:color w:val="000000"/>
          <w:sz w:val="18"/>
        </w:rPr>
        <w:t xml:space="preserve">Dans une zone périurbaine ou rurale (avec prises de terre des masses HTA et du neutre BT interconnectées après réalisation), la valeur de la prise de terre globale du neutre BT avant interconnexion doit être de 15 Ω pour un régime de neutre HTA cible de 150A ou à neutre compensé.  </w:t>
      </w:r>
    </w:p>
    <w:p w:rsidR="009D2AF8" w:rsidRPr="00C915ED" w:rsidRDefault="009D2AF8" w:rsidP="009D2AF8">
      <w:pPr>
        <w:rPr>
          <w:rFonts w:ascii="Arial" w:hAnsi="Arial" w:cs="Arial"/>
          <w:color w:val="000000"/>
          <w:sz w:val="18"/>
        </w:rPr>
      </w:pPr>
      <w:r w:rsidRPr="00C915ED">
        <w:rPr>
          <w:rFonts w:ascii="Arial" w:hAnsi="Arial" w:cs="Arial"/>
          <w:color w:val="000000"/>
          <w:sz w:val="18"/>
        </w:rPr>
        <w:t xml:space="preserve">Dans une zone rurale (avec prises de terre des masses HTA et du neutre BT séparées après réalisation), la valeur de la prise de terre globale du neutre BT doit être de 5 Ω pour un régime de neutre HTA cible de 150A et de 15  Ω pour un régime HTA cible à neutre compensé. </w:t>
      </w:r>
    </w:p>
    <w:p w:rsidR="009D2AF8" w:rsidRPr="00C915ED" w:rsidRDefault="009D2AF8" w:rsidP="009D2AF8">
      <w:pPr>
        <w:rPr>
          <w:rFonts w:ascii="Arial" w:hAnsi="Arial" w:cs="Arial"/>
          <w:color w:val="000000"/>
          <w:sz w:val="18"/>
        </w:rPr>
      </w:pPr>
      <w:r w:rsidRPr="00C915ED">
        <w:rPr>
          <w:rFonts w:ascii="Arial" w:hAnsi="Arial" w:cs="Arial"/>
          <w:color w:val="000000"/>
          <w:sz w:val="18"/>
        </w:rPr>
        <w:t>Dans les zones où la terre des masses du poste HTA/BT n'est pas connectée à la terre du neutre du réseau BT (zones où la résistance de terre des masses du poste interconnectée à la terre du neutre réseau est supérieure à 2,5 ohms), le couplage entre la terre des masses du poste HTA/BT et la première prise de terre  du neutre du réseau BT doit être inférieure à 15%. Dans ces mêmes zones, si</w:t>
      </w:r>
      <w:r>
        <w:rPr>
          <w:rFonts w:ascii="Arial" w:hAnsi="Arial" w:cs="Arial"/>
          <w:color w:val="000000"/>
          <w:sz w:val="18"/>
        </w:rPr>
        <w:t xml:space="preserve"> un accessoire de jonction ou </w:t>
      </w:r>
      <w:r w:rsidRPr="00C915ED">
        <w:rPr>
          <w:rFonts w:ascii="Arial" w:hAnsi="Arial" w:cs="Arial"/>
          <w:color w:val="000000"/>
          <w:sz w:val="18"/>
        </w:rPr>
        <w:t>de dérivation (souterrain) est positionné entre le poste HTA/BT et la première émergence, exceptionnellement le conducteur de neutre ne doit pas être mis à la terre au niveau de cet accessoire. Dans ce cas, il convient d'utiliser soit un accessoire qui porte la désignation complémentaire "ISOL", soi</w:t>
      </w:r>
      <w:r>
        <w:rPr>
          <w:rFonts w:ascii="Arial" w:hAnsi="Arial" w:cs="Arial"/>
          <w:color w:val="000000"/>
          <w:sz w:val="18"/>
        </w:rPr>
        <w:t xml:space="preserve">t un accessoire v2006 qui sera </w:t>
      </w:r>
      <w:r w:rsidRPr="00C915ED">
        <w:rPr>
          <w:rFonts w:ascii="Arial" w:hAnsi="Arial" w:cs="Arial"/>
          <w:color w:val="000000"/>
          <w:sz w:val="18"/>
        </w:rPr>
        <w:t xml:space="preserve">réalisé de façon à isoler le neutre de la terre. </w:t>
      </w:r>
    </w:p>
    <w:p w:rsidR="003A627C" w:rsidRDefault="003A627C"/>
    <w:sectPr w:rsidR="003A627C" w:rsidSect="003A6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D52"/>
    <w:multiLevelType w:val="hybridMultilevel"/>
    <w:tmpl w:val="68585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F6E15"/>
    <w:multiLevelType w:val="hybridMultilevel"/>
    <w:tmpl w:val="C2BC2128"/>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
    <w:nsid w:val="09995916"/>
    <w:multiLevelType w:val="hybridMultilevel"/>
    <w:tmpl w:val="CCC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0A4240"/>
    <w:multiLevelType w:val="hybridMultilevel"/>
    <w:tmpl w:val="9CAE3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37B29"/>
    <w:multiLevelType w:val="hybridMultilevel"/>
    <w:tmpl w:val="645EC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EE044C"/>
    <w:multiLevelType w:val="hybridMultilevel"/>
    <w:tmpl w:val="2CCE5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CE150E"/>
    <w:multiLevelType w:val="hybridMultilevel"/>
    <w:tmpl w:val="C6D8E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A30332"/>
    <w:multiLevelType w:val="hybridMultilevel"/>
    <w:tmpl w:val="8E328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6372BA"/>
    <w:multiLevelType w:val="hybridMultilevel"/>
    <w:tmpl w:val="2B4EDE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4E3DD2"/>
    <w:multiLevelType w:val="hybridMultilevel"/>
    <w:tmpl w:val="D3088A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9"/>
  </w:num>
  <w:num w:numId="7">
    <w:abstractNumId w:val="2"/>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9D2AF8"/>
    <w:rsid w:val="00005AB7"/>
    <w:rsid w:val="00075F95"/>
    <w:rsid w:val="003160DD"/>
    <w:rsid w:val="003A627C"/>
    <w:rsid w:val="004A1B72"/>
    <w:rsid w:val="009D2AF8"/>
    <w:rsid w:val="00A419DB"/>
    <w:rsid w:val="00A84EAC"/>
    <w:rsid w:val="00D90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F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AF8"/>
    <w:pPr>
      <w:ind w:left="720"/>
      <w:contextualSpacing/>
    </w:pPr>
  </w:style>
  <w:style w:type="paragraph" w:styleId="Textedebulles">
    <w:name w:val="Balloon Text"/>
    <w:basedOn w:val="Normal"/>
    <w:link w:val="TextedebullesCar"/>
    <w:uiPriority w:val="99"/>
    <w:semiHidden/>
    <w:unhideWhenUsed/>
    <w:rsid w:val="009D2A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A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11736</Characters>
  <Application>Microsoft Office Word</Application>
  <DocSecurity>0</DocSecurity>
  <Lines>97</Lines>
  <Paragraphs>27</Paragraphs>
  <ScaleCrop>false</ScaleCrop>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peiss</dc:creator>
  <cp:lastModifiedBy>peiss</cp:lastModifiedBy>
  <cp:revision>1</cp:revision>
  <dcterms:created xsi:type="dcterms:W3CDTF">2015-05-22T07:54:00Z</dcterms:created>
  <dcterms:modified xsi:type="dcterms:W3CDTF">2015-05-22T07:55:00Z</dcterms:modified>
</cp:coreProperties>
</file>