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F5039" w:rsidP="00F97390">
            <w:pPr>
              <w:pStyle w:val="Sansinterligne"/>
              <w:jc w:val="center"/>
              <w:rPr>
                <w:noProof/>
                <w:lang w:eastAsia="fr-FR"/>
              </w:rPr>
            </w:pPr>
            <w:r w:rsidRPr="009F5039">
              <w:rPr>
                <w:noProof/>
                <w:lang w:eastAsia="fr-FR"/>
              </w:rPr>
              <w:drawing>
                <wp:inline distT="0" distB="0" distL="0" distR="0">
                  <wp:extent cx="1181735" cy="1632346"/>
                  <wp:effectExtent l="0" t="0" r="0" b="6350"/>
                  <wp:docPr id="2" name="Image 2" descr="C:\Users\lkadur\Desktop\Dossiers\Matrice docs\Logos\Logo cir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dur\Desktop\Dossiers\Matrice docs\Logos\Logo circ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539" cy="1643126"/>
                          </a:xfrm>
                          <a:prstGeom prst="rect">
                            <a:avLst/>
                          </a:prstGeom>
                          <a:noFill/>
                          <a:ln>
                            <a:noFill/>
                          </a:ln>
                        </pic:spPr>
                      </pic:pic>
                    </a:graphicData>
                  </a:graphic>
                </wp:inline>
              </w:drawing>
            </w:r>
          </w:p>
          <w:p w:rsidR="009D57D2" w:rsidRPr="00203A4A" w:rsidRDefault="009D57D2" w:rsidP="00F97390">
            <w:pPr>
              <w:pStyle w:val="Sansinterligne"/>
              <w:jc w:val="center"/>
            </w:pPr>
          </w:p>
        </w:tc>
        <w:tc>
          <w:tcPr>
            <w:tcW w:w="3550" w:type="pct"/>
            <w:tcBorders>
              <w:top w:val="single" w:sz="12" w:space="0" w:color="008000"/>
            </w:tcBorders>
          </w:tcPr>
          <w:p w:rsidR="009D57D2" w:rsidRPr="00F97390" w:rsidRDefault="00E90715" w:rsidP="00E90715">
            <w:pPr>
              <w:pStyle w:val="Sansinterligne"/>
              <w:jc w:val="center"/>
              <w:rPr>
                <w:color w:val="775F55"/>
                <w:sz w:val="72"/>
                <w:szCs w:val="72"/>
              </w:rPr>
            </w:pPr>
            <w:r>
              <w:rPr>
                <w:color w:val="775F55"/>
                <w:sz w:val="72"/>
                <w:szCs w:val="72"/>
              </w:rPr>
              <w:t>Construire et utiliser des outils mathématiques</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9D57D2" w:rsidRDefault="00E90715" w:rsidP="00D545E4">
            <w:pPr>
              <w:jc w:val="center"/>
              <w:rPr>
                <w:rStyle w:val="Titredulivre"/>
                <w:i w:val="0"/>
                <w:iCs w:val="0"/>
                <w:color w:val="FFFFFF"/>
                <w:sz w:val="32"/>
                <w:szCs w:val="32"/>
              </w:rPr>
            </w:pPr>
            <w:r>
              <w:rPr>
                <w:rStyle w:val="Titredulivre"/>
                <w:i w:val="0"/>
                <w:iCs w:val="0"/>
                <w:color w:val="FFFFFF"/>
                <w:sz w:val="32"/>
                <w:szCs w:val="32"/>
              </w:rPr>
              <w:t>Décembre 2018</w:t>
            </w:r>
          </w:p>
          <w:p w:rsidR="009D57D2" w:rsidRPr="00D545E4" w:rsidRDefault="009D57D2" w:rsidP="00D545E4">
            <w:pPr>
              <w:jc w:val="center"/>
              <w:rPr>
                <w:rStyle w:val="Titredulivre"/>
                <w:i w:val="0"/>
                <w:iCs w:val="0"/>
                <w:color w:val="FFFFFF"/>
                <w:sz w:val="32"/>
                <w:szCs w:val="32"/>
              </w:rPr>
            </w:pPr>
            <w:proofErr w:type="spellStart"/>
            <w:r>
              <w:rPr>
                <w:rStyle w:val="Titredulivre"/>
                <w:i w:val="0"/>
                <w:iCs w:val="0"/>
                <w:color w:val="FFFFFF"/>
                <w:sz w:val="32"/>
                <w:szCs w:val="32"/>
              </w:rPr>
              <w:t>Chasseneuil</w:t>
            </w:r>
            <w:proofErr w:type="spellEnd"/>
          </w:p>
        </w:tc>
        <w:tc>
          <w:tcPr>
            <w:tcW w:w="3550" w:type="pct"/>
            <w:tcBorders>
              <w:top w:val="nil"/>
              <w:bottom w:val="nil"/>
            </w:tcBorders>
            <w:shd w:val="clear" w:color="auto" w:fill="99CCFF"/>
            <w:vAlign w:val="center"/>
          </w:tcPr>
          <w:p w:rsidR="009D57D2" w:rsidRPr="00D545E4" w:rsidRDefault="009D57D2" w:rsidP="00E90715">
            <w:pPr>
              <w:pStyle w:val="Sansinterligne"/>
              <w:jc w:val="center"/>
              <w:rPr>
                <w:rStyle w:val="Titredulivre"/>
                <w:i w:val="0"/>
                <w:color w:val="FFFFFF"/>
                <w:sz w:val="40"/>
                <w:szCs w:val="40"/>
              </w:rPr>
            </w:pPr>
            <w:r>
              <w:rPr>
                <w:rStyle w:val="Titredulivre"/>
                <w:i w:val="0"/>
                <w:color w:val="FFFFFF"/>
                <w:sz w:val="40"/>
                <w:szCs w:val="40"/>
              </w:rPr>
              <w:t>Module B</w:t>
            </w:r>
            <w:r w:rsidR="00E90715">
              <w:rPr>
                <w:rStyle w:val="Titredulivre"/>
                <w:i w:val="0"/>
                <w:color w:val="FFFFFF"/>
                <w:sz w:val="40"/>
                <w:szCs w:val="40"/>
              </w:rPr>
              <w:t xml:space="preserve"> 1</w:t>
            </w:r>
            <w:r>
              <w:rPr>
                <w:rStyle w:val="Titredulivre"/>
                <w:i w:val="0"/>
                <w:color w:val="FFFFFF"/>
                <w:sz w:val="40"/>
                <w:szCs w:val="40"/>
              </w:rPr>
              <w:t>3</w:t>
            </w:r>
          </w:p>
        </w:tc>
      </w:tr>
      <w:tr w:rsidR="009D57D2" w:rsidRPr="00203A4A" w:rsidTr="00D545E4">
        <w:trPr>
          <w:cnfStyle w:val="010000000000" w:firstRow="0" w:lastRow="1" w:firstColumn="0" w:lastColumn="0" w:oddVBand="0" w:evenVBand="0" w:oddHBand="0" w:evenHBand="0" w:firstRowFirstColumn="0" w:firstRowLastColumn="0" w:lastRowFirstColumn="0" w:lastRowLastColumn="0"/>
          <w:trHeight w:val="3992"/>
        </w:trPr>
        <w:tc>
          <w:tcPr>
            <w:tcW w:w="5000" w:type="pct"/>
            <w:gridSpan w:val="2"/>
            <w:tcBorders>
              <w:top w:val="nil"/>
              <w:bottom w:val="single" w:sz="12" w:space="0" w:color="008000"/>
            </w:tcBorders>
          </w:tcPr>
          <w:p w:rsidR="009D57D2" w:rsidRDefault="009D57D2" w:rsidP="00F97390">
            <w:pPr>
              <w:pStyle w:val="Titre"/>
            </w:pPr>
            <w:r>
              <w:t>Eléments-clés :</w:t>
            </w:r>
          </w:p>
          <w:p w:rsidR="009D57D2" w:rsidRDefault="009D57D2" w:rsidP="00A82D7E">
            <w:pPr>
              <w:pStyle w:val="Sous-titre"/>
            </w:pPr>
          </w:p>
          <w:p w:rsidR="009D57D2" w:rsidRDefault="00E90715" w:rsidP="00A82D7E">
            <w:pPr>
              <w:pStyle w:val="Sous-titre"/>
            </w:pPr>
            <w:r>
              <w:t>construire des outils mathématiques pour aider les élèves à mémoriser, notamment grace à des appuis visuels</w:t>
            </w:r>
          </w:p>
          <w:p w:rsidR="009D57D2" w:rsidRPr="00B32218" w:rsidRDefault="009D57D2" w:rsidP="00A82D7E">
            <w:pPr>
              <w:pStyle w:val="Sous-titre"/>
              <w:rPr>
                <w:sz w:val="20"/>
                <w:szCs w:val="20"/>
              </w:rPr>
            </w:pPr>
            <w:r>
              <w:t xml:space="preserve">aider les enfants a </w:t>
            </w:r>
            <w:r w:rsidR="00E90715">
              <w:t>stabiliser les informations</w:t>
            </w:r>
          </w:p>
          <w:p w:rsidR="009D57D2" w:rsidRDefault="00E90715" w:rsidP="00A82D7E">
            <w:pPr>
              <w:pStyle w:val="Sous-titre"/>
            </w:pPr>
            <w:r>
              <w:t>mettre en relation les situations de problèmes mathématiques avec des problèmes similaires déjà rencontrés</w:t>
            </w:r>
          </w:p>
          <w:p w:rsidR="009D57D2" w:rsidRDefault="00E90715" w:rsidP="00A82D7E">
            <w:pPr>
              <w:pStyle w:val="Sous-titre"/>
            </w:pPr>
            <w:r>
              <w:t>remobiliser les acquis antérieurs</w:t>
            </w:r>
          </w:p>
          <w:p w:rsidR="009D57D2" w:rsidRDefault="00E90715" w:rsidP="00A82D7E">
            <w:pPr>
              <w:pStyle w:val="Sous-titre"/>
            </w:pPr>
            <w:r>
              <w:t>construire et utiliser des outils mathématiques pour garder trace, réfléchir, communiquer, comprendre et apprendre ensemble</w:t>
            </w:r>
          </w:p>
          <w:p w:rsidR="009D57D2" w:rsidRDefault="009D57D2" w:rsidP="00A82D7E">
            <w:pPr>
              <w:pStyle w:val="Sous-titre"/>
              <w:rPr>
                <w:rStyle w:val="Titre1Car"/>
              </w:rPr>
            </w:pPr>
          </w:p>
          <w:p w:rsidR="009D57D2" w:rsidRDefault="009D57D2" w:rsidP="00A82D7E">
            <w:pPr>
              <w:pStyle w:val="Sous-titre"/>
            </w:pPr>
            <w:r>
              <w:rPr>
                <w:rStyle w:val="Titre1Car"/>
              </w:rPr>
              <w:lastRenderedPageBreak/>
              <w:t>Pistes de travail :</w:t>
            </w:r>
          </w:p>
          <w:p w:rsidR="009D57D2" w:rsidRDefault="009D57D2" w:rsidP="00B32218">
            <w:r>
              <w:t xml:space="preserve">- </w:t>
            </w:r>
            <w:r w:rsidR="00E90715">
              <w:t>Sortir d’un langage utilitaire pour réfléchir avec les autres, essayer de comprendre, expliquer, argumenter</w:t>
            </w:r>
            <w:r w:rsidR="006C1ACD">
              <w:t>.</w:t>
            </w:r>
            <w:r w:rsidR="00890690">
              <w:t xml:space="preserve"> </w:t>
            </w:r>
            <w:r w:rsidR="00890690">
              <w:t>Les élèves intègrent beaucoup mieux ce qu’ils expérimentent par eux-mêmes et qu’ils doivent expliquer aux autres</w:t>
            </w:r>
            <w:r w:rsidR="00890690">
              <w:t>.</w:t>
            </w:r>
          </w:p>
          <w:p w:rsidR="00E90715" w:rsidRDefault="009D57D2" w:rsidP="00B32218">
            <w:r>
              <w:t xml:space="preserve">- </w:t>
            </w:r>
            <w:r w:rsidR="00E90715">
              <w:t>La trace écrite peut intervenir lors de la résolution du problème mathématique lorsque la manipulation n’est pas possible, ou dans un second temps pour prendre de la distance et verbaliser sa procédure.</w:t>
            </w:r>
            <w:r w:rsidR="00DB3EB5">
              <w:t xml:space="preserve"> Elle intervient </w:t>
            </w:r>
            <w:r w:rsidR="00890690">
              <w:t xml:space="preserve">systématiquement </w:t>
            </w:r>
            <w:r w:rsidR="00DB3EB5">
              <w:t>en synthèse finale</w:t>
            </w:r>
            <w:r w:rsidR="00890690">
              <w:t xml:space="preserve"> du problème</w:t>
            </w:r>
            <w:r w:rsidR="00DB3EB5">
              <w:t>.</w:t>
            </w:r>
          </w:p>
          <w:p w:rsidR="009D57D2" w:rsidRDefault="00E90715" w:rsidP="00B32218">
            <w:r>
              <w:t xml:space="preserve">- La représentation </w:t>
            </w:r>
            <w:r w:rsidR="00DB3EB5">
              <w:t xml:space="preserve">écrite </w:t>
            </w:r>
            <w:r>
              <w:t>permet de faire év</w:t>
            </w:r>
            <w:r w:rsidR="00890690">
              <w:t>oluer le dessin vers le schéma.</w:t>
            </w:r>
          </w:p>
          <w:p w:rsidR="009D57D2" w:rsidRDefault="009D57D2" w:rsidP="00B32218">
            <w:r>
              <w:t xml:space="preserve">- </w:t>
            </w:r>
            <w:r w:rsidR="006C1ACD">
              <w:t>S’appuyer sur les outils déjà élaborés en classe pour prendre conscience de ce qui a déjà été appris et des différentes procédures utilisées pour le</w:t>
            </w:r>
            <w:r w:rsidR="00DB3EB5">
              <w:t>s</w:t>
            </w:r>
            <w:r w:rsidR="006C1ACD">
              <w:t xml:space="preserve"> transférer à d’autres situations</w:t>
            </w:r>
            <w:r>
              <w:t>.</w:t>
            </w:r>
          </w:p>
          <w:p w:rsidR="00DB3EB5" w:rsidRDefault="00DB3EB5" w:rsidP="00B32218">
            <w:r>
              <w:t>- Mettre en évidence les erreurs pour progresser.</w:t>
            </w:r>
          </w:p>
          <w:p w:rsidR="00DB3EB5" w:rsidRDefault="00DB3EB5" w:rsidP="00B32218">
            <w:r>
              <w:t>- Faire faire, faire dire, faire comprendre.</w:t>
            </w:r>
          </w:p>
          <w:p w:rsidR="00DB3EB5" w:rsidRDefault="00DB3EB5" w:rsidP="00B32218">
            <w:r>
              <w:t xml:space="preserve">- S’inspirer du classeur des savoirs pour produire </w:t>
            </w:r>
            <w:r w:rsidR="00890690">
              <w:t xml:space="preserve">avec les élèves </w:t>
            </w:r>
            <w:r>
              <w:t>un outil de conceptualisation.</w:t>
            </w:r>
          </w:p>
          <w:p w:rsidR="00DB3EB5" w:rsidRDefault="00DB3EB5" w:rsidP="00B32218">
            <w:r>
              <w:t xml:space="preserve">- Ménager des temps de consultation-feuilletage-commentaire </w:t>
            </w:r>
            <w:r w:rsidR="00890690">
              <w:t xml:space="preserve">par les élèves </w:t>
            </w:r>
            <w:r>
              <w:t>des traces écrites et des synthèses</w:t>
            </w:r>
            <w:r w:rsidR="00890690">
              <w:t xml:space="preserve"> (en autonomie ou de façon guidée pour les plus fragiles)</w:t>
            </w:r>
            <w:r>
              <w:t xml:space="preserve">. Les traces écrites n’ont de sens que si elles sont réutilisées, </w:t>
            </w:r>
            <w:proofErr w:type="spellStart"/>
            <w:r>
              <w:t>re</w:t>
            </w:r>
            <w:proofErr w:type="spellEnd"/>
            <w:r w:rsidR="00890690">
              <w:t>-</w:t>
            </w:r>
            <w:bookmarkStart w:id="0" w:name="_GoBack"/>
            <w:bookmarkEnd w:id="0"/>
            <w:r>
              <w:t>consultées, commentées, mémorisées.</w:t>
            </w:r>
          </w:p>
          <w:p w:rsidR="00DB3EB5" w:rsidRDefault="00DB3EB5" w:rsidP="00B32218">
            <w:r>
              <w:t>- Varier les différentes représentations de la bande numérique.</w:t>
            </w:r>
          </w:p>
          <w:p w:rsidR="00DB3EB5" w:rsidRDefault="00DB3EB5" w:rsidP="00B32218">
            <w:r>
              <w:t>- Créer des livres à compter à partir des outils élaborés en classe et utiliser les albums numériques de littérature de jeunesse.</w:t>
            </w:r>
          </w:p>
          <w:p w:rsidR="00DB3EB5" w:rsidRDefault="00DB3EB5" w:rsidP="00B32218">
            <w:r>
              <w:t>- Tester les feuilles de marque au cours des jeux pour résoudre des problèmes de calcul.</w:t>
            </w:r>
          </w:p>
          <w:p w:rsidR="009D57D2" w:rsidRDefault="00DB3EB5" w:rsidP="00DB3EB5">
            <w:r>
              <w:t>- Mettre en place une « boîte de problèmes » à partir du stock de problèmes élaborés en animation et dans lequel puiser de façon hebdomadaire.</w:t>
            </w:r>
          </w:p>
          <w:p w:rsidR="00DB3EB5" w:rsidRDefault="00DB3EB5" w:rsidP="00DB3EB5">
            <w:pPr>
              <w:rPr>
                <w:sz w:val="28"/>
                <w:szCs w:val="28"/>
              </w:rPr>
            </w:pPr>
          </w:p>
          <w:p w:rsidR="00DB3EB5" w:rsidRDefault="00DB3EB5" w:rsidP="00A72836">
            <w:pPr>
              <w:pStyle w:val="Citationintense"/>
              <w:jc w:val="center"/>
              <w:rPr>
                <w:sz w:val="28"/>
                <w:szCs w:val="28"/>
              </w:rPr>
            </w:pPr>
            <w:r>
              <w:rPr>
                <w:sz w:val="28"/>
                <w:szCs w:val="28"/>
              </w:rPr>
              <w:t>Apprendre à chercher.</w:t>
            </w:r>
          </w:p>
          <w:p w:rsidR="00DB3EB5" w:rsidRDefault="006C1ACD" w:rsidP="00A72836">
            <w:pPr>
              <w:pStyle w:val="Citationintense"/>
              <w:jc w:val="center"/>
              <w:rPr>
                <w:sz w:val="28"/>
                <w:szCs w:val="28"/>
              </w:rPr>
            </w:pPr>
            <w:r>
              <w:rPr>
                <w:sz w:val="28"/>
                <w:szCs w:val="28"/>
              </w:rPr>
              <w:t>Rendre visible l’invisible (dans la tête dans l’enfant)</w:t>
            </w:r>
            <w:r w:rsidR="00DB3EB5">
              <w:rPr>
                <w:sz w:val="28"/>
                <w:szCs w:val="28"/>
              </w:rPr>
              <w:t>.</w:t>
            </w:r>
          </w:p>
          <w:p w:rsidR="006C1ACD" w:rsidRPr="00A72836" w:rsidRDefault="00DB3EB5" w:rsidP="00A72836">
            <w:pPr>
              <w:pStyle w:val="Citationintense"/>
              <w:jc w:val="center"/>
              <w:rPr>
                <w:sz w:val="28"/>
                <w:szCs w:val="28"/>
              </w:rPr>
            </w:pPr>
            <w:r>
              <w:rPr>
                <w:sz w:val="28"/>
                <w:szCs w:val="28"/>
              </w:rPr>
              <w:t>G</w:t>
            </w:r>
            <w:r w:rsidR="006C1ACD">
              <w:rPr>
                <w:sz w:val="28"/>
                <w:szCs w:val="28"/>
              </w:rPr>
              <w:t>arder trace</w:t>
            </w:r>
            <w:r>
              <w:rPr>
                <w:sz w:val="28"/>
                <w:szCs w:val="28"/>
              </w:rPr>
              <w:t xml:space="preserve"> pour viser des savoirs</w:t>
            </w:r>
            <w:r w:rsidR="006C1ACD">
              <w:rPr>
                <w:sz w:val="28"/>
                <w:szCs w:val="28"/>
              </w:rPr>
              <w:t>.</w:t>
            </w:r>
          </w:p>
          <w:p w:rsidR="009D57D2" w:rsidRPr="00203A4A" w:rsidRDefault="009D57D2" w:rsidP="00B32218">
            <w:pPr>
              <w:pStyle w:val="Sansinterligne"/>
              <w:spacing w:line="360" w:lineRule="auto"/>
              <w:rPr>
                <w:sz w:val="26"/>
                <w:szCs w:val="26"/>
              </w:rPr>
            </w:pPr>
          </w:p>
          <w:p w:rsidR="009D57D2" w:rsidRPr="00203A4A" w:rsidRDefault="009D57D2" w:rsidP="007B671F">
            <w:pPr>
              <w:pStyle w:val="Sansinterligne"/>
              <w:spacing w:line="360" w:lineRule="auto"/>
              <w:rPr>
                <w:i/>
                <w:iCs/>
                <w:color w:val="775F55"/>
                <w:sz w:val="26"/>
                <w:szCs w:val="26"/>
              </w:rPr>
            </w:pPr>
          </w:p>
        </w:tc>
      </w:tr>
    </w:tbl>
    <w:p w:rsidR="009D57D2" w:rsidRDefault="009D57D2" w:rsidP="00D545E4">
      <w:pPr>
        <w:spacing w:after="200" w:line="276" w:lineRule="auto"/>
      </w:pPr>
    </w:p>
    <w:sectPr w:rsidR="009D57D2" w:rsidSect="005A5297">
      <w:headerReference w:type="even" r:id="rId8"/>
      <w:headerReference w:type="default" r:id="rId9"/>
      <w:footerReference w:type="even" r:id="rId10"/>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28" w:rsidRDefault="002E3428">
      <w:pPr>
        <w:spacing w:after="0" w:line="240" w:lineRule="auto"/>
      </w:pPr>
      <w:r>
        <w:separator/>
      </w:r>
    </w:p>
  </w:endnote>
  <w:endnote w:type="continuationSeparator" w:id="0">
    <w:p w:rsidR="002E3428" w:rsidRDefault="002E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28" w:rsidRDefault="002E3428">
      <w:pPr>
        <w:spacing w:after="0" w:line="240" w:lineRule="auto"/>
      </w:pPr>
      <w:r>
        <w:separator/>
      </w:r>
    </w:p>
  </w:footnote>
  <w:footnote w:type="continuationSeparator" w:id="0">
    <w:p w:rsidR="002E3428" w:rsidRDefault="002E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A0BE0"/>
    <w:rsid w:val="000B6D0C"/>
    <w:rsid w:val="001665B5"/>
    <w:rsid w:val="00203A4A"/>
    <w:rsid w:val="002D0BB2"/>
    <w:rsid w:val="002E3428"/>
    <w:rsid w:val="002F6620"/>
    <w:rsid w:val="00440D25"/>
    <w:rsid w:val="004A1233"/>
    <w:rsid w:val="005127C2"/>
    <w:rsid w:val="005A5297"/>
    <w:rsid w:val="006C1ACD"/>
    <w:rsid w:val="0077484B"/>
    <w:rsid w:val="0079198C"/>
    <w:rsid w:val="007B671F"/>
    <w:rsid w:val="007C7381"/>
    <w:rsid w:val="00886E51"/>
    <w:rsid w:val="00890690"/>
    <w:rsid w:val="008C550E"/>
    <w:rsid w:val="00963475"/>
    <w:rsid w:val="009D57D2"/>
    <w:rsid w:val="009E1E55"/>
    <w:rsid w:val="009F5039"/>
    <w:rsid w:val="00A34783"/>
    <w:rsid w:val="00A72836"/>
    <w:rsid w:val="00A8285C"/>
    <w:rsid w:val="00A82D7E"/>
    <w:rsid w:val="00B32218"/>
    <w:rsid w:val="00D545E4"/>
    <w:rsid w:val="00DB3EB5"/>
    <w:rsid w:val="00E055A2"/>
    <w:rsid w:val="00E14EBC"/>
    <w:rsid w:val="00E22992"/>
    <w:rsid w:val="00E57405"/>
    <w:rsid w:val="00E90715"/>
    <w:rsid w:val="00F05BFE"/>
    <w:rsid w:val="00F3744D"/>
    <w:rsid w:val="00F97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8E66F"/>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MedianReport.dotx</Template>
  <TotalTime>25</TotalTime>
  <Pages>2</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6</cp:revision>
  <dcterms:created xsi:type="dcterms:W3CDTF">2018-02-07T13:39:00Z</dcterms:created>
  <dcterms:modified xsi:type="dcterms:W3CDTF">2018-12-06T08:17:00Z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