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69" w:rsidRDefault="00082C69" w:rsidP="00082C69">
      <w:pPr>
        <w:pBdr>
          <w:top w:val="single" w:sz="4" w:space="1" w:color="auto"/>
          <w:left w:val="single" w:sz="4" w:space="4" w:color="auto"/>
          <w:bottom w:val="single" w:sz="4" w:space="1" w:color="auto"/>
          <w:right w:val="single" w:sz="4" w:space="4" w:color="auto"/>
        </w:pBdr>
        <w:spacing w:before="120"/>
        <w:jc w:val="center"/>
        <w:rPr>
          <w:b/>
        </w:rPr>
      </w:pPr>
    </w:p>
    <w:p w:rsidR="003760DF" w:rsidRDefault="003760DF" w:rsidP="00082C69">
      <w:pPr>
        <w:pBdr>
          <w:top w:val="single" w:sz="4" w:space="1" w:color="auto"/>
          <w:left w:val="single" w:sz="4" w:space="4" w:color="auto"/>
          <w:bottom w:val="single" w:sz="4" w:space="1" w:color="auto"/>
          <w:right w:val="single" w:sz="4" w:space="4" w:color="auto"/>
        </w:pBdr>
        <w:spacing w:before="120"/>
        <w:jc w:val="center"/>
        <w:rPr>
          <w:b/>
        </w:rPr>
      </w:pPr>
      <w:r w:rsidRPr="003760DF">
        <w:rPr>
          <w:b/>
        </w:rPr>
        <w:t>Le nouveau plan Vigipirate</w:t>
      </w:r>
    </w:p>
    <w:p w:rsidR="00082C69" w:rsidRDefault="00082C69" w:rsidP="00082C69">
      <w:pPr>
        <w:pBdr>
          <w:top w:val="single" w:sz="4" w:space="1" w:color="auto"/>
          <w:left w:val="single" w:sz="4" w:space="4" w:color="auto"/>
          <w:bottom w:val="single" w:sz="4" w:space="1" w:color="auto"/>
          <w:right w:val="single" w:sz="4" w:space="4" w:color="auto"/>
        </w:pBdr>
        <w:spacing w:before="120"/>
        <w:jc w:val="center"/>
        <w:rPr>
          <w:b/>
        </w:rPr>
      </w:pPr>
    </w:p>
    <w:p w:rsidR="00F37ED3" w:rsidRDefault="00F37ED3" w:rsidP="002933D8">
      <w:pPr>
        <w:spacing w:before="120"/>
        <w:jc w:val="both"/>
      </w:pPr>
    </w:p>
    <w:p w:rsidR="001D244B" w:rsidRDefault="001D244B" w:rsidP="002933D8">
      <w:pPr>
        <w:spacing w:before="120"/>
        <w:jc w:val="both"/>
      </w:pPr>
    </w:p>
    <w:p w:rsidR="002933D8" w:rsidRPr="000003C1" w:rsidRDefault="00F456FD" w:rsidP="002933D8">
      <w:pPr>
        <w:spacing w:before="120"/>
        <w:jc w:val="both"/>
      </w:pPr>
      <w:r>
        <w:t>L</w:t>
      </w:r>
      <w:r w:rsidR="002933D8" w:rsidRPr="00C30228">
        <w:t xml:space="preserve">a protection du territoire national, de la population qui y vit et de </w:t>
      </w:r>
      <w:r w:rsidR="002933D8">
        <w:t>ses ressortissants</w:t>
      </w:r>
      <w:r w:rsidR="002933D8" w:rsidRPr="00C30228">
        <w:t xml:space="preserve"> à l’étranger est une </w:t>
      </w:r>
      <w:r w:rsidR="002933D8">
        <w:t>responsabilité essentielle</w:t>
      </w:r>
      <w:r w:rsidR="002933D8" w:rsidRPr="000003C1">
        <w:t xml:space="preserve"> de l’Etat. Il lui appartient également de garantir la continuité des fonctions essentielles de la Nation</w:t>
      </w:r>
      <w:r w:rsidR="002933D8">
        <w:t xml:space="preserve">, </w:t>
      </w:r>
      <w:r w:rsidR="002933D8" w:rsidRPr="001356B4">
        <w:t>notamment</w:t>
      </w:r>
      <w:r w:rsidR="002933D8">
        <w:t xml:space="preserve"> celles qui relèvent du fonctionnement de l’Etat et de la vie de la population</w:t>
      </w:r>
      <w:r w:rsidR="002933D8" w:rsidRPr="000003C1">
        <w:t xml:space="preserve">. </w:t>
      </w:r>
    </w:p>
    <w:p w:rsidR="00DC2E46" w:rsidRDefault="00DC2E46">
      <w:pPr>
        <w:jc w:val="both"/>
      </w:pPr>
    </w:p>
    <w:p w:rsidR="00DC2E46" w:rsidRDefault="00C84498">
      <w:pPr>
        <w:jc w:val="both"/>
      </w:pPr>
      <w:r w:rsidRPr="000003C1">
        <w:t xml:space="preserve">Le plan </w:t>
      </w:r>
      <w:r w:rsidRPr="000003C1">
        <w:rPr>
          <w:smallCaps/>
        </w:rPr>
        <w:t>Vigipirate</w:t>
      </w:r>
      <w:r w:rsidRPr="000003C1">
        <w:t xml:space="preserve"> consiste en un dispositif permanent de vigilance, de prévention et de protection face à la menace terroriste</w:t>
      </w:r>
      <w:r w:rsidR="001936D0">
        <w:t xml:space="preserve"> ou en réaction à une attaque. I</w:t>
      </w:r>
      <w:r w:rsidRPr="000003C1">
        <w:t>l couvre l’ensemble des activités du pays et associe tous les acteurs de la Nation. En ce sens, il constitue un instrument majeur concourant à la sécurité nationale</w:t>
      </w:r>
      <w:r>
        <w:t xml:space="preserve">, </w:t>
      </w:r>
      <w:r w:rsidR="002933D8" w:rsidRPr="000003C1">
        <w:t xml:space="preserve">définit des stratégies et des objectifs de sécurité et propose des mesures opérationnelles pour l’ensemble des acteurs concernés. </w:t>
      </w:r>
    </w:p>
    <w:p w:rsidR="00DC2E46" w:rsidRDefault="00DC2E46">
      <w:pPr>
        <w:jc w:val="both"/>
      </w:pPr>
    </w:p>
    <w:p w:rsidR="00DC2E46" w:rsidRDefault="00DC2E46">
      <w:pPr>
        <w:jc w:val="both"/>
      </w:pPr>
    </w:p>
    <w:p w:rsidR="00D82D16" w:rsidRPr="00B8651E" w:rsidRDefault="00D82D16" w:rsidP="00B8651E">
      <w:pPr>
        <w:pStyle w:val="Paragraphedeliste"/>
        <w:numPr>
          <w:ilvl w:val="0"/>
          <w:numId w:val="19"/>
        </w:numPr>
        <w:rPr>
          <w:b/>
          <w:u w:val="single"/>
        </w:rPr>
      </w:pPr>
      <w:r w:rsidRPr="00B8651E">
        <w:rPr>
          <w:b/>
          <w:u w:val="single"/>
        </w:rPr>
        <w:t>Les caractéristiques du nouveau plan Vigipirate</w:t>
      </w:r>
    </w:p>
    <w:p w:rsidR="00D82D16" w:rsidRDefault="00D82D16" w:rsidP="00C84498"/>
    <w:p w:rsidR="003760DF" w:rsidRDefault="00D82D16" w:rsidP="00D82D16">
      <w:r>
        <w:t>S’il a</w:t>
      </w:r>
      <w:r w:rsidR="001936D0">
        <w:t>,</w:t>
      </w:r>
      <w:r>
        <w:t xml:space="preserve"> comme le précédent, </w:t>
      </w:r>
      <w:r w:rsidR="002933D8" w:rsidRPr="000003C1">
        <w:t>pour objectifs </w:t>
      </w:r>
      <w:r>
        <w:t>de</w:t>
      </w:r>
      <w:r w:rsidR="002933D8" w:rsidRPr="000003C1">
        <w:t xml:space="preserve"> développer et maintenir une culture de vigilance de l’ensemble</w:t>
      </w:r>
      <w:r>
        <w:t xml:space="preserve"> des acteurs de la Nation</w:t>
      </w:r>
      <w:r w:rsidR="002933D8" w:rsidRPr="000003C1">
        <w:t xml:space="preserve"> afin de prévenir ou de déceler le plus en amont possible toute menace d’action terroriste</w:t>
      </w:r>
      <w:r>
        <w:t>, d’organiser un</w:t>
      </w:r>
      <w:r w:rsidR="00C84498" w:rsidRPr="000003C1">
        <w:t xml:space="preserve"> dispositif national </w:t>
      </w:r>
      <w:r>
        <w:t>de préparation</w:t>
      </w:r>
      <w:r w:rsidR="00C84498" w:rsidRPr="000003C1">
        <w:t xml:space="preserve"> des moyens de protection et de réponse</w:t>
      </w:r>
      <w:r>
        <w:t xml:space="preserve">, de </w:t>
      </w:r>
      <w:r w:rsidR="002933D8" w:rsidRPr="000003C1">
        <w:t>permettre une réaction rapide et coordonnée en cas d’action terroriste</w:t>
      </w:r>
      <w:r>
        <w:t>, le</w:t>
      </w:r>
      <w:r w:rsidR="003760DF">
        <w:t xml:space="preserve"> nouveau plan approuvé par le Premier ministre présente </w:t>
      </w:r>
      <w:r w:rsidR="00C84498">
        <w:t xml:space="preserve">trois </w:t>
      </w:r>
      <w:r w:rsidR="003760DF">
        <w:t>caractéris</w:t>
      </w:r>
      <w:r>
        <w:t>tiques</w:t>
      </w:r>
      <w:r w:rsidR="001936D0">
        <w:t>.</w:t>
      </w:r>
      <w:r>
        <w:t xml:space="preserve"> </w:t>
      </w:r>
    </w:p>
    <w:p w:rsidR="002933D8" w:rsidRPr="000003C1" w:rsidRDefault="003760DF" w:rsidP="003760DF">
      <w:pPr>
        <w:spacing w:before="120"/>
        <w:jc w:val="both"/>
      </w:pPr>
      <w:r w:rsidRPr="00C84498">
        <w:rPr>
          <w:b/>
        </w:rPr>
        <w:t xml:space="preserve">1° </w:t>
      </w:r>
      <w:r w:rsidR="001936D0">
        <w:rPr>
          <w:b/>
        </w:rPr>
        <w:t>I</w:t>
      </w:r>
      <w:r w:rsidRPr="00C84498">
        <w:rPr>
          <w:b/>
        </w:rPr>
        <w:t>l est en grande partie public</w:t>
      </w:r>
      <w:r>
        <w:t xml:space="preserve">, afin d’informer </w:t>
      </w:r>
      <w:r w:rsidR="002933D8" w:rsidRPr="000003C1">
        <w:t xml:space="preserve">la population </w:t>
      </w:r>
      <w:r w:rsidR="002933D8">
        <w:t>d</w:t>
      </w:r>
      <w:r w:rsidR="002933D8" w:rsidRPr="000003C1">
        <w:t xml:space="preserve">es mesures de protection et de vigilance qui la concernent, </w:t>
      </w:r>
      <w:r w:rsidR="002933D8">
        <w:t>et à</w:t>
      </w:r>
      <w:r w:rsidR="002933D8" w:rsidRPr="000003C1">
        <w:t xml:space="preserve"> </w:t>
      </w:r>
      <w:r>
        <w:t xml:space="preserve">mieux </w:t>
      </w:r>
      <w:r w:rsidR="002933D8" w:rsidRPr="000003C1">
        <w:t xml:space="preserve">mobiliser </w:t>
      </w:r>
      <w:r>
        <w:t>l’ensemble des acteurs du plan. Un document classifié est cependant d</w:t>
      </w:r>
      <w:r w:rsidR="002933D8" w:rsidRPr="000003C1">
        <w:t>estiné aux pouvoirs publics et aux opérateurs d’importance vitale, comprenant toutes les précisions nécessaires à sa mise en œuvre</w:t>
      </w:r>
      <w:r>
        <w:t xml:space="preserve"> et le détail d</w:t>
      </w:r>
      <w:r w:rsidR="00D82D16">
        <w:t>e</w:t>
      </w:r>
      <w:r>
        <w:t xml:space="preserve"> mesures qui ne concernent pas directement le</w:t>
      </w:r>
      <w:r w:rsidR="00DA249B">
        <w:t>s</w:t>
      </w:r>
      <w:r>
        <w:t xml:space="preserve"> ministère</w:t>
      </w:r>
      <w:r w:rsidR="00DA249B">
        <w:t>s</w:t>
      </w:r>
      <w:r>
        <w:t xml:space="preserve"> de l’éducation nationale</w:t>
      </w:r>
      <w:r w:rsidR="00DA249B">
        <w:t xml:space="preserve"> et de l’enseignement supérieur et de la recherche</w:t>
      </w:r>
      <w:r w:rsidR="001936D0">
        <w:t>.</w:t>
      </w:r>
    </w:p>
    <w:p w:rsidR="00ED2B22" w:rsidRDefault="003760DF" w:rsidP="00C03203">
      <w:pPr>
        <w:spacing w:before="120"/>
        <w:jc w:val="both"/>
      </w:pPr>
      <w:r w:rsidRPr="001936D0">
        <w:rPr>
          <w:b/>
        </w:rPr>
        <w:t xml:space="preserve">2° </w:t>
      </w:r>
      <w:r w:rsidR="001936D0" w:rsidRPr="001936D0">
        <w:rPr>
          <w:b/>
        </w:rPr>
        <w:t>I</w:t>
      </w:r>
      <w:r w:rsidRPr="001936D0">
        <w:rPr>
          <w:b/>
        </w:rPr>
        <w:t>l</w:t>
      </w:r>
      <w:r w:rsidRPr="00C84498">
        <w:rPr>
          <w:b/>
        </w:rPr>
        <w:t xml:space="preserve"> est simplifié</w:t>
      </w:r>
      <w:r>
        <w:t> </w:t>
      </w:r>
      <w:r w:rsidR="00C03203">
        <w:t xml:space="preserve">par la référence à </w:t>
      </w:r>
      <w:r w:rsidR="00285016">
        <w:t>deux n</w:t>
      </w:r>
      <w:r>
        <w:t xml:space="preserve">iveaux d’alerte </w:t>
      </w:r>
      <w:r w:rsidR="00ED2B22">
        <w:t xml:space="preserve">au lieu de cinq </w:t>
      </w:r>
      <w:r w:rsidR="001936D0">
        <w:t xml:space="preserve">(représentés précédemment par des </w:t>
      </w:r>
      <w:r w:rsidR="00ED2B22">
        <w:t>couleurs</w:t>
      </w:r>
      <w:r w:rsidR="001936D0">
        <w:t>)</w:t>
      </w:r>
      <w:r w:rsidR="00ED2B22">
        <w:t>, visualisés par un logo affiché dans les lieux publics</w:t>
      </w:r>
      <w:r w:rsidR="001936D0">
        <w:t> :</w:t>
      </w:r>
    </w:p>
    <w:p w:rsidR="00C03203" w:rsidRDefault="001936D0" w:rsidP="00C03203">
      <w:pPr>
        <w:pStyle w:val="Paragraphedeliste"/>
        <w:numPr>
          <w:ilvl w:val="0"/>
          <w:numId w:val="8"/>
        </w:numPr>
        <w:tabs>
          <w:tab w:val="clear" w:pos="360"/>
          <w:tab w:val="num" w:pos="426"/>
        </w:tabs>
        <w:spacing w:before="120" w:after="120"/>
        <w:ind w:left="780"/>
        <w:jc w:val="both"/>
      </w:pPr>
      <w:r w:rsidRPr="001936D0">
        <w:t>l</w:t>
      </w:r>
      <w:r w:rsidR="00C03203" w:rsidRPr="001936D0">
        <w:t xml:space="preserve">a </w:t>
      </w:r>
      <w:r w:rsidR="00C03203" w:rsidRPr="004800C8">
        <w:rPr>
          <w:b/>
        </w:rPr>
        <w:t>vigilance</w:t>
      </w:r>
      <w:r w:rsidR="004800C8">
        <w:t xml:space="preserve"> </w:t>
      </w:r>
      <w:r w:rsidR="002C3DA5">
        <w:t>correspond</w:t>
      </w:r>
      <w:r w:rsidR="00C03203" w:rsidRPr="000003C1">
        <w:t xml:space="preserve"> à la posture permanente de sécurité. Elle se traduit par la mise </w:t>
      </w:r>
      <w:r w:rsidR="00D2601A">
        <w:t xml:space="preserve"> </w:t>
      </w:r>
      <w:r w:rsidR="00C03203" w:rsidRPr="000003C1">
        <w:t>en œuvre d</w:t>
      </w:r>
      <w:r w:rsidR="00C03203">
        <w:t>’un socle d</w:t>
      </w:r>
      <w:r w:rsidR="00C03203" w:rsidRPr="000003C1">
        <w:t>e mesures permanentes d’intensité variable</w:t>
      </w:r>
      <w:r w:rsidR="00285016">
        <w:t xml:space="preserve"> selon la vulnérabilité des sites ; cette vigilance peut être </w:t>
      </w:r>
      <w:r w:rsidR="00C03203" w:rsidRPr="00285016">
        <w:rPr>
          <w:b/>
        </w:rPr>
        <w:t>renforcée</w:t>
      </w:r>
      <w:r w:rsidR="004800C8">
        <w:rPr>
          <w:b/>
        </w:rPr>
        <w:t xml:space="preserve"> </w:t>
      </w:r>
      <w:r w:rsidR="00285016" w:rsidRPr="001D244B">
        <w:t>par</w:t>
      </w:r>
      <w:r w:rsidR="0038152A" w:rsidRPr="001D244B">
        <w:t xml:space="preserve"> l</w:t>
      </w:r>
      <w:r w:rsidR="00B9698C" w:rsidRPr="001D244B">
        <w:t>’addition d</w:t>
      </w:r>
      <w:r w:rsidR="00C03203" w:rsidRPr="001D244B">
        <w:t>e mesures</w:t>
      </w:r>
      <w:r w:rsidR="00C03203" w:rsidRPr="0038152A">
        <w:t xml:space="preserve"> </w:t>
      </w:r>
      <w:r w:rsidR="00C03203" w:rsidRPr="000003C1">
        <w:t>plus contraignantes mais temporaires</w:t>
      </w:r>
      <w:r w:rsidR="00C03203">
        <w:t xml:space="preserve"> </w:t>
      </w:r>
      <w:r w:rsidR="00C03203" w:rsidRPr="00C03203">
        <w:t>pour</w:t>
      </w:r>
      <w:r w:rsidR="00C03203" w:rsidRPr="000003C1">
        <w:t xml:space="preserve"> faire face à une augmentation de la menace terroriste ou de certaines vulnérabilités</w:t>
      </w:r>
      <w:r w:rsidR="00C03203">
        <w:t xml:space="preserve"> ;</w:t>
      </w:r>
      <w:r w:rsidR="00C03203" w:rsidRPr="000003C1">
        <w:t xml:space="preserve"> </w:t>
      </w:r>
    </w:p>
    <w:p w:rsidR="00C03203" w:rsidRDefault="001936D0" w:rsidP="00C03203">
      <w:pPr>
        <w:numPr>
          <w:ilvl w:val="0"/>
          <w:numId w:val="8"/>
        </w:numPr>
        <w:spacing w:before="120" w:after="120"/>
        <w:ind w:left="780"/>
        <w:jc w:val="both"/>
      </w:pPr>
      <w:r w:rsidRPr="001936D0">
        <w:t>l</w:t>
      </w:r>
      <w:r w:rsidR="00C03203" w:rsidRPr="001936D0">
        <w:rPr>
          <w:b/>
        </w:rPr>
        <w:t>’alerte attentat</w:t>
      </w:r>
      <w:r w:rsidR="00C03203" w:rsidRPr="00CB6B45">
        <w:t xml:space="preserve"> s’applique </w:t>
      </w:r>
      <w:r w:rsidR="0038152A">
        <w:t xml:space="preserve">soit </w:t>
      </w:r>
      <w:r w:rsidR="00C03203" w:rsidRPr="00CB6B45">
        <w:t xml:space="preserve">à </w:t>
      </w:r>
      <w:r w:rsidR="0038152A" w:rsidRPr="000003C1">
        <w:t xml:space="preserve">un contexte </w:t>
      </w:r>
      <w:r w:rsidR="0038152A">
        <w:t xml:space="preserve">de péril imminent, soit à </w:t>
      </w:r>
      <w:r w:rsidR="00C03203" w:rsidRPr="00CB6B45">
        <w:t xml:space="preserve">une situation où une ou plusieurs actions terroristes </w:t>
      </w:r>
      <w:r w:rsidR="0038152A">
        <w:t>s</w:t>
      </w:r>
      <w:r w:rsidR="00C03203" w:rsidRPr="00CB6B45">
        <w:t>ont comm</w:t>
      </w:r>
      <w:r w:rsidR="0038152A">
        <w:t>ises sur le territoire national : d</w:t>
      </w:r>
      <w:r w:rsidR="00C03203" w:rsidRPr="00CB6B45">
        <w:t xml:space="preserve">es </w:t>
      </w:r>
      <w:r w:rsidR="00C03203" w:rsidRPr="000003C1">
        <w:t xml:space="preserve">mesures </w:t>
      </w:r>
      <w:r w:rsidR="00C03203" w:rsidRPr="00285016">
        <w:t>exceptionnelles et temporaires</w:t>
      </w:r>
      <w:r w:rsidR="0038152A">
        <w:t xml:space="preserve">, </w:t>
      </w:r>
      <w:r w:rsidR="0038152A" w:rsidRPr="00285016">
        <w:rPr>
          <w:b/>
        </w:rPr>
        <w:t xml:space="preserve">éventuellement </w:t>
      </w:r>
      <w:r w:rsidR="00285016">
        <w:rPr>
          <w:b/>
        </w:rPr>
        <w:t xml:space="preserve">très </w:t>
      </w:r>
      <w:r w:rsidR="0038152A" w:rsidRPr="00285016">
        <w:rPr>
          <w:b/>
        </w:rPr>
        <w:t>contraignantes</w:t>
      </w:r>
      <w:r w:rsidR="0038152A">
        <w:t xml:space="preserve"> </w:t>
      </w:r>
      <w:r w:rsidR="00C03203" w:rsidRPr="000003C1">
        <w:t>sont</w:t>
      </w:r>
      <w:r w:rsidR="0038152A">
        <w:t xml:space="preserve"> alors</w:t>
      </w:r>
      <w:r w:rsidR="00C03203" w:rsidRPr="000003C1">
        <w:t xml:space="preserve"> </w:t>
      </w:r>
      <w:r w:rsidR="0038152A">
        <w:t>à prendre</w:t>
      </w:r>
      <w:r w:rsidR="00C03203">
        <w:t>.</w:t>
      </w:r>
    </w:p>
    <w:p w:rsidR="00B8651E" w:rsidRDefault="00ED2B22" w:rsidP="00ED2B22">
      <w:pPr>
        <w:spacing w:before="120"/>
        <w:jc w:val="both"/>
      </w:pPr>
      <w:r w:rsidRPr="001936D0">
        <w:rPr>
          <w:b/>
        </w:rPr>
        <w:t xml:space="preserve">3° </w:t>
      </w:r>
      <w:r w:rsidR="001936D0" w:rsidRPr="001936D0">
        <w:rPr>
          <w:b/>
        </w:rPr>
        <w:t>I</w:t>
      </w:r>
      <w:r w:rsidRPr="001936D0">
        <w:rPr>
          <w:b/>
        </w:rPr>
        <w:t>l</w:t>
      </w:r>
      <w:r w:rsidRPr="00C84498">
        <w:rPr>
          <w:b/>
        </w:rPr>
        <w:t xml:space="preserve"> </w:t>
      </w:r>
      <w:r w:rsidR="00C84498">
        <w:rPr>
          <w:b/>
        </w:rPr>
        <w:t>adopte une approche par des</w:t>
      </w:r>
      <w:r>
        <w:t xml:space="preserve"> </w:t>
      </w:r>
      <w:r w:rsidR="002933D8" w:rsidRPr="00B86819">
        <w:rPr>
          <w:b/>
        </w:rPr>
        <w:t xml:space="preserve">objectifs de </w:t>
      </w:r>
      <w:proofErr w:type="gramStart"/>
      <w:r w:rsidR="002933D8" w:rsidRPr="00C03203">
        <w:rPr>
          <w:b/>
        </w:rPr>
        <w:t xml:space="preserve">sécurité </w:t>
      </w:r>
      <w:r w:rsidR="0038152A">
        <w:rPr>
          <w:b/>
        </w:rPr>
        <w:t>propres</w:t>
      </w:r>
      <w:proofErr w:type="gramEnd"/>
      <w:r w:rsidR="0038152A">
        <w:rPr>
          <w:b/>
        </w:rPr>
        <w:t xml:space="preserve"> à chaque </w:t>
      </w:r>
      <w:r w:rsidR="00C03203" w:rsidRPr="00C03203">
        <w:rPr>
          <w:b/>
        </w:rPr>
        <w:t>domaine</w:t>
      </w:r>
      <w:r w:rsidR="00C03203">
        <w:t xml:space="preserve">, </w:t>
      </w:r>
      <w:r w:rsidR="002933D8" w:rsidRPr="000003C1">
        <w:t>permettant de choisir au sein d’un répertoire les mesures de vigilance et de protection les plus adaptées au niveau</w:t>
      </w:r>
      <w:r w:rsidR="002933D8">
        <w:t xml:space="preserve"> de menace, dans une logique de proportionnalité</w:t>
      </w:r>
      <w:r w:rsidR="00C84498">
        <w:t xml:space="preserve"> </w:t>
      </w:r>
      <w:r w:rsidR="00C84498" w:rsidRPr="000003C1">
        <w:t xml:space="preserve">afin de réduire les </w:t>
      </w:r>
      <w:r w:rsidR="00C84498" w:rsidRPr="000003C1">
        <w:lastRenderedPageBreak/>
        <w:t>vulnérabilités sans induire de contraintes excessives sur la vie économique et sociale de la Nation</w:t>
      </w:r>
      <w:r w:rsidR="002933D8">
        <w:t xml:space="preserve">. </w:t>
      </w:r>
    </w:p>
    <w:p w:rsidR="00ED2B22" w:rsidRDefault="000F5B8F" w:rsidP="00ED2B22">
      <w:pPr>
        <w:spacing w:before="120"/>
        <w:jc w:val="both"/>
      </w:pPr>
      <w:r>
        <w:t xml:space="preserve">Ainsi les mesures du plan </w:t>
      </w:r>
      <w:r w:rsidR="00103EB0">
        <w:t>sont classées</w:t>
      </w:r>
      <w:r w:rsidR="00285016">
        <w:t xml:space="preserve"> et numérotées</w:t>
      </w:r>
      <w:r w:rsidR="00103EB0">
        <w:t xml:space="preserve">, </w:t>
      </w:r>
      <w:r>
        <w:t>dans cha</w:t>
      </w:r>
      <w:r w:rsidR="00103EB0">
        <w:t>cun des 12 domaines d’activité, en fonction de  l’objectif de sécurité qu’elles visent dans ce domaine (premier chiffre) et en fonction du degré de contrainte envisageable dans les modalités de leur</w:t>
      </w:r>
      <w:r w:rsidR="001936D0">
        <w:t xml:space="preserve"> application (deuxième chiffre). Ce </w:t>
      </w:r>
      <w:r w:rsidR="00103EB0">
        <w:t xml:space="preserve"> degré </w:t>
      </w:r>
      <w:r w:rsidR="001936D0">
        <w:t xml:space="preserve">de contrainte peut </w:t>
      </w:r>
      <w:r w:rsidR="00103EB0">
        <w:t xml:space="preserve">varier en fonction du moment </w:t>
      </w:r>
      <w:proofErr w:type="gramStart"/>
      <w:r w:rsidR="00103EB0">
        <w:t>ou</w:t>
      </w:r>
      <w:proofErr w:type="gramEnd"/>
      <w:r w:rsidR="00103EB0">
        <w:t xml:space="preserve"> de la sensibilité du site auquel s’applique cette mesure</w:t>
      </w:r>
      <w:r w:rsidR="002B1631">
        <w:t xml:space="preserve">. Ce </w:t>
      </w:r>
      <w:r w:rsidR="00285016">
        <w:t xml:space="preserve">degré de contrainte </w:t>
      </w:r>
      <w:r w:rsidR="002B1631">
        <w:t xml:space="preserve">peut ainsi être </w:t>
      </w:r>
      <w:r w:rsidR="00285016">
        <w:t xml:space="preserve">affiné et modulé dans le cadre du niveau général </w:t>
      </w:r>
      <w:r w:rsidR="002B1631">
        <w:t xml:space="preserve">d’alerte </w:t>
      </w:r>
      <w:r w:rsidR="00285016">
        <w:t xml:space="preserve">en vigueur. </w:t>
      </w:r>
      <w:r w:rsidR="002B1631">
        <w:t xml:space="preserve">   </w:t>
      </w:r>
      <w:r w:rsidR="00103EB0">
        <w:t xml:space="preserve"> </w:t>
      </w:r>
    </w:p>
    <w:p w:rsidR="000F5B8F" w:rsidRDefault="000F5B8F" w:rsidP="000F5B8F">
      <w:pPr>
        <w:spacing w:before="120"/>
        <w:jc w:val="both"/>
      </w:pPr>
      <w:r w:rsidRPr="001936D0">
        <w:rPr>
          <w:b/>
        </w:rPr>
        <w:t xml:space="preserve">4) </w:t>
      </w:r>
      <w:r w:rsidR="001936D0">
        <w:rPr>
          <w:b/>
        </w:rPr>
        <w:t>C</w:t>
      </w:r>
      <w:r w:rsidR="0038152A" w:rsidRPr="001936D0">
        <w:rPr>
          <w:b/>
        </w:rPr>
        <w:t>haque</w:t>
      </w:r>
      <w:r w:rsidR="0038152A" w:rsidRPr="000E5359">
        <w:rPr>
          <w:b/>
        </w:rPr>
        <w:t xml:space="preserve"> ministère est </w:t>
      </w:r>
      <w:r w:rsidR="002B1631">
        <w:rPr>
          <w:b/>
        </w:rPr>
        <w:t xml:space="preserve">ainsi </w:t>
      </w:r>
      <w:r w:rsidR="0038152A" w:rsidRPr="000E5359">
        <w:rPr>
          <w:b/>
        </w:rPr>
        <w:t xml:space="preserve">appelé à décliner </w:t>
      </w:r>
      <w:r w:rsidR="000E5359" w:rsidRPr="000E5359">
        <w:rPr>
          <w:b/>
        </w:rPr>
        <w:t xml:space="preserve">et à diffuser </w:t>
      </w:r>
      <w:r w:rsidR="0038152A" w:rsidRPr="000E5359">
        <w:rPr>
          <w:b/>
        </w:rPr>
        <w:t xml:space="preserve">les </w:t>
      </w:r>
      <w:r w:rsidR="000E5359" w:rsidRPr="000E5359">
        <w:rPr>
          <w:b/>
        </w:rPr>
        <w:t>instructions</w:t>
      </w:r>
      <w:r w:rsidR="000E5359">
        <w:t xml:space="preserve"> nécessaires en direction de ses services déconcentrés et de ses </w:t>
      </w:r>
      <w:r w:rsidR="0038152A">
        <w:t>établissement</w:t>
      </w:r>
      <w:r w:rsidR="000E5359">
        <w:t>s ou opérateurs dont il a la tutelle</w:t>
      </w:r>
      <w:r>
        <w:t>, d</w:t>
      </w:r>
      <w:r w:rsidRPr="000003C1">
        <w:t xml:space="preserve">es </w:t>
      </w:r>
      <w:r w:rsidRPr="000F5B8F">
        <w:rPr>
          <w:b/>
        </w:rPr>
        <w:t xml:space="preserve">instructions </w:t>
      </w:r>
      <w:r w:rsidR="002B1631">
        <w:rPr>
          <w:b/>
        </w:rPr>
        <w:t xml:space="preserve">étant </w:t>
      </w:r>
      <w:r w:rsidRPr="000F5B8F">
        <w:rPr>
          <w:b/>
        </w:rPr>
        <w:t>également transmises par le ministère de l’intérieur aux préfets</w:t>
      </w:r>
      <w:r w:rsidRPr="000003C1">
        <w:t>, qui en informent les collectivités territoriales de leur département, s’assurent de la bonne information des opérateurs et veillent à la cohérence des mesures mises en œuvre par les différents acteurs.</w:t>
      </w:r>
    </w:p>
    <w:p w:rsidR="000F5B8F" w:rsidRDefault="002B1631" w:rsidP="000F5B8F">
      <w:pPr>
        <w:spacing w:before="120"/>
        <w:jc w:val="both"/>
      </w:pPr>
      <w:r>
        <w:t>C’est pourquoi les recteurs veilleront, suite aux instructions qu’ils reçoivent du ministère</w:t>
      </w:r>
      <w:r w:rsidR="00B8651E">
        <w:t xml:space="preserve"> (HFDS),</w:t>
      </w:r>
      <w:r>
        <w:t xml:space="preserve"> à ce que </w:t>
      </w:r>
      <w:r w:rsidR="00B8651E">
        <w:t>ces instructions, d</w:t>
      </w:r>
      <w:r>
        <w:t>éclinées</w:t>
      </w:r>
      <w:r w:rsidR="00B8651E">
        <w:t xml:space="preserve"> par leurs soins auprès des services académiques et des établissements, soient </w:t>
      </w:r>
      <w:r>
        <w:t xml:space="preserve">communiquées aussi aux </w:t>
      </w:r>
      <w:r w:rsidR="000F5B8F">
        <w:t>préfets des département</w:t>
      </w:r>
      <w:r>
        <w:t>s</w:t>
      </w:r>
      <w:r w:rsidR="00B8651E">
        <w:t>.</w:t>
      </w:r>
    </w:p>
    <w:p w:rsidR="00DD227D" w:rsidRDefault="00DD227D" w:rsidP="001936D0">
      <w:pPr>
        <w:spacing w:after="120"/>
        <w:jc w:val="both"/>
      </w:pPr>
    </w:p>
    <w:p w:rsidR="00D2601A" w:rsidRDefault="000F5B8F" w:rsidP="001936D0">
      <w:pPr>
        <w:spacing w:after="120"/>
        <w:jc w:val="both"/>
      </w:pPr>
      <w:r w:rsidRPr="000003C1">
        <w:t xml:space="preserve">Le grand public est </w:t>
      </w:r>
      <w:r w:rsidR="00B8651E">
        <w:t xml:space="preserve">pour sa part </w:t>
      </w:r>
      <w:r w:rsidRPr="000003C1">
        <w:t xml:space="preserve">informé de l’évolution de la menace terroriste et des changements de posture </w:t>
      </w:r>
      <w:r w:rsidRPr="000003C1">
        <w:rPr>
          <w:smallCaps/>
        </w:rPr>
        <w:t>Vigipirate</w:t>
      </w:r>
      <w:r w:rsidRPr="000003C1">
        <w:t xml:space="preserve"> par les déclarations du Premier ministre et des ministres concernés, mais également au travers du site internet du gouvernement </w:t>
      </w:r>
      <w:r w:rsidRPr="001936D0">
        <w:rPr>
          <w:b/>
        </w:rPr>
        <w:t>www.risques.gouv.fr</w:t>
      </w:r>
      <w:r w:rsidRPr="000003C1">
        <w:t xml:space="preserve"> qui donne les informations les plus récentes et renvoie à une base documentaire complète sur le plan </w:t>
      </w:r>
      <w:r w:rsidRPr="000003C1">
        <w:rPr>
          <w:smallCaps/>
        </w:rPr>
        <w:t>Vigipirate</w:t>
      </w:r>
      <w:r w:rsidRPr="000003C1">
        <w:t>.</w:t>
      </w:r>
    </w:p>
    <w:p w:rsidR="009C0DE6" w:rsidRDefault="009C0DE6" w:rsidP="001936D0">
      <w:pPr>
        <w:pStyle w:val="Paragraphedeliste"/>
        <w:spacing w:before="240" w:after="120"/>
        <w:ind w:left="0"/>
        <w:jc w:val="both"/>
      </w:pPr>
      <w:r>
        <w:t xml:space="preserve">Les niveaux </w:t>
      </w:r>
      <w:r w:rsidRPr="00D2601A">
        <w:rPr>
          <w:smallCaps/>
        </w:rPr>
        <w:t>Vigipirate</w:t>
      </w:r>
      <w:r>
        <w:t xml:space="preserve"> sont exprimés dans l’espace public au travers d’une signalétique associée à un triangle de couleur rouge pour signaler le danger. En situation d’alerte attentat, la mention « alerte attentat » est ajoutée.</w:t>
      </w:r>
    </w:p>
    <w:p w:rsidR="00647F64" w:rsidRDefault="00647F64" w:rsidP="009C0DE6">
      <w:pPr>
        <w:spacing w:after="120"/>
        <w:jc w:val="both"/>
      </w:pPr>
    </w:p>
    <w:p w:rsidR="00DC2E46" w:rsidRDefault="00647F64">
      <w:pPr>
        <w:pStyle w:val="Paragraphedeliste"/>
        <w:numPr>
          <w:ilvl w:val="0"/>
          <w:numId w:val="19"/>
        </w:numPr>
        <w:spacing w:before="120"/>
        <w:jc w:val="both"/>
        <w:rPr>
          <w:b/>
          <w:u w:val="single"/>
        </w:rPr>
      </w:pPr>
      <w:r>
        <w:rPr>
          <w:b/>
          <w:u w:val="single"/>
        </w:rPr>
        <w:t>P</w:t>
      </w:r>
      <w:r w:rsidRPr="00647F64">
        <w:rPr>
          <w:b/>
          <w:u w:val="single"/>
        </w:rPr>
        <w:t>rincipa</w:t>
      </w:r>
      <w:r w:rsidR="001936D0">
        <w:rPr>
          <w:b/>
          <w:u w:val="single"/>
        </w:rPr>
        <w:t xml:space="preserve">ux objectifs de sécurité et </w:t>
      </w:r>
      <w:r w:rsidRPr="00647F64">
        <w:rPr>
          <w:b/>
          <w:u w:val="single"/>
        </w:rPr>
        <w:t xml:space="preserve">mesures </w:t>
      </w:r>
      <w:r w:rsidR="001936D0">
        <w:rPr>
          <w:b/>
          <w:u w:val="single"/>
        </w:rPr>
        <w:t xml:space="preserve">pour </w:t>
      </w:r>
      <w:r w:rsidRPr="00647F64">
        <w:rPr>
          <w:b/>
          <w:u w:val="single"/>
        </w:rPr>
        <w:t>l’éducation nationale</w:t>
      </w:r>
      <w:r w:rsidR="00DA249B">
        <w:rPr>
          <w:b/>
          <w:u w:val="single"/>
        </w:rPr>
        <w:t>, l’enseignement supérieur et la recherche</w:t>
      </w:r>
      <w:r w:rsidRPr="00647F64">
        <w:rPr>
          <w:b/>
          <w:u w:val="single"/>
        </w:rPr>
        <w:t xml:space="preserve"> </w:t>
      </w:r>
    </w:p>
    <w:p w:rsidR="00647F64" w:rsidRDefault="00647F64" w:rsidP="00647F64">
      <w:pPr>
        <w:spacing w:after="120"/>
        <w:jc w:val="both"/>
      </w:pPr>
    </w:p>
    <w:p w:rsidR="00647F64" w:rsidRPr="000003C1" w:rsidRDefault="00647F64" w:rsidP="00647F64">
      <w:pPr>
        <w:spacing w:after="120"/>
        <w:jc w:val="both"/>
      </w:pPr>
      <w:r>
        <w:t xml:space="preserve">Le plan décrit </w:t>
      </w:r>
      <w:r w:rsidRPr="000003C1">
        <w:t>au sein de</w:t>
      </w:r>
      <w:r w:rsidR="00B8651E">
        <w:t xml:space="preserve"> chacun de ses 12</w:t>
      </w:r>
      <w:r w:rsidRPr="000003C1">
        <w:t xml:space="preserve"> domaines:</w:t>
      </w:r>
    </w:p>
    <w:p w:rsidR="00647F64" w:rsidRPr="000003C1" w:rsidRDefault="00647F64" w:rsidP="00647F64">
      <w:pPr>
        <w:numPr>
          <w:ilvl w:val="2"/>
          <w:numId w:val="5"/>
        </w:numPr>
        <w:spacing w:after="120"/>
        <w:jc w:val="both"/>
      </w:pPr>
      <w:r w:rsidRPr="000003C1">
        <w:t xml:space="preserve">les </w:t>
      </w:r>
      <w:r w:rsidRPr="00C03203">
        <w:rPr>
          <w:b/>
        </w:rPr>
        <w:t xml:space="preserve">objectifs </w:t>
      </w:r>
      <w:r w:rsidRPr="000003C1">
        <w:t>de sécurité propres au domaine,</w:t>
      </w:r>
    </w:p>
    <w:p w:rsidR="00647F64" w:rsidRPr="000003C1" w:rsidRDefault="00647F64" w:rsidP="00647F64">
      <w:pPr>
        <w:numPr>
          <w:ilvl w:val="2"/>
          <w:numId w:val="5"/>
        </w:numPr>
        <w:spacing w:after="120"/>
        <w:jc w:val="both"/>
      </w:pPr>
      <w:r w:rsidRPr="000003C1">
        <w:t>les mesures permanentes de vigilance et de protection à mettre en œuvre en toutes circonstances</w:t>
      </w:r>
      <w:r>
        <w:t>,</w:t>
      </w:r>
      <w:r w:rsidRPr="000003C1">
        <w:t xml:space="preserve"> </w:t>
      </w:r>
      <w:r>
        <w:t>et qui</w:t>
      </w:r>
      <w:r w:rsidRPr="000003C1">
        <w:t xml:space="preserve"> constituent le </w:t>
      </w:r>
      <w:r w:rsidRPr="00C03203">
        <w:rPr>
          <w:b/>
        </w:rPr>
        <w:t>socle permanent de vigilance</w:t>
      </w:r>
      <w:r w:rsidRPr="000003C1">
        <w:t>, de prévention et de protection ;</w:t>
      </w:r>
    </w:p>
    <w:p w:rsidR="00647F64" w:rsidRPr="000003C1" w:rsidRDefault="00647F64" w:rsidP="00647F64">
      <w:pPr>
        <w:numPr>
          <w:ilvl w:val="2"/>
          <w:numId w:val="5"/>
        </w:numPr>
        <w:spacing w:after="120"/>
        <w:jc w:val="both"/>
      </w:pPr>
      <w:r w:rsidRPr="000003C1">
        <w:t xml:space="preserve">les mesures </w:t>
      </w:r>
      <w:r w:rsidRPr="00C03203">
        <w:rPr>
          <w:b/>
        </w:rPr>
        <w:t>additionnelles</w:t>
      </w:r>
      <w:r w:rsidRPr="000003C1">
        <w:t xml:space="preserve"> susceptibles d’être mises en œuvre en fonction de l’évaluation de la menace </w:t>
      </w:r>
      <w:r>
        <w:t>ou de vulnérabilités particulières</w:t>
      </w:r>
      <w:r w:rsidRPr="000003C1">
        <w:t>.</w:t>
      </w:r>
    </w:p>
    <w:p w:rsidR="00170286" w:rsidRDefault="00DA249B" w:rsidP="00B8651E">
      <w:pPr>
        <w:spacing w:after="120"/>
        <w:jc w:val="both"/>
      </w:pPr>
      <w:r>
        <w:t>Les ministères de l’</w:t>
      </w:r>
      <w:r w:rsidR="000B62C0">
        <w:t>’éducation nationale</w:t>
      </w:r>
      <w:r>
        <w:t xml:space="preserve"> et de l’enseignement supérieur et de la recherche</w:t>
      </w:r>
      <w:r w:rsidR="000B62C0">
        <w:t xml:space="preserve"> </w:t>
      </w:r>
      <w:r>
        <w:t xml:space="preserve">sont </w:t>
      </w:r>
      <w:r w:rsidR="00B8651E">
        <w:t>impliqué</w:t>
      </w:r>
      <w:r>
        <w:t>s</w:t>
      </w:r>
      <w:r w:rsidR="00B8651E">
        <w:t xml:space="preserve"> </w:t>
      </w:r>
      <w:r w:rsidR="00170286">
        <w:t xml:space="preserve">principalement </w:t>
      </w:r>
      <w:r w:rsidR="00B8651E">
        <w:t>dans la mise en œuvre de mesures d</w:t>
      </w:r>
      <w:r w:rsidR="000B62C0">
        <w:t>es domaines</w:t>
      </w:r>
      <w:r w:rsidR="00B8651E">
        <w:t xml:space="preserve"> de l’alerte</w:t>
      </w:r>
      <w:r w:rsidR="00F06EB7">
        <w:t xml:space="preserve"> (ALR), de la sécurité </w:t>
      </w:r>
      <w:r w:rsidR="00B8651E">
        <w:t xml:space="preserve">des établissements recevant du public et des bâtiments (BAT) et de la </w:t>
      </w:r>
      <w:proofErr w:type="spellStart"/>
      <w:r w:rsidR="00B8651E">
        <w:t>cybersécurité</w:t>
      </w:r>
      <w:proofErr w:type="spellEnd"/>
      <w:r w:rsidR="00B8651E">
        <w:t xml:space="preserve"> (CYB) </w:t>
      </w:r>
      <w:r w:rsidR="00170286">
        <w:t>qui, au demeurant, concourent à la sécurisation générale des établissements scolaires vis-à-vis de tout type d’agression.</w:t>
      </w:r>
    </w:p>
    <w:p w:rsidR="00F06EB7" w:rsidRDefault="00650924" w:rsidP="00B8651E">
      <w:pPr>
        <w:spacing w:after="120"/>
        <w:jc w:val="both"/>
      </w:pPr>
      <w:r>
        <w:lastRenderedPageBreak/>
        <w:t xml:space="preserve">Ils sont concernés </w:t>
      </w:r>
      <w:r w:rsidR="00170286">
        <w:t>aussi, mais</w:t>
      </w:r>
      <w:r w:rsidR="00F06EB7">
        <w:t xml:space="preserve">, plus </w:t>
      </w:r>
      <w:r w:rsidR="00B8651E">
        <w:t>exceptionnellement</w:t>
      </w:r>
      <w:r w:rsidR="00F06EB7">
        <w:t xml:space="preserve">, </w:t>
      </w:r>
      <w:r w:rsidR="00170286">
        <w:t>par les domaines des g</w:t>
      </w:r>
      <w:r w:rsidR="00F06EB7">
        <w:t xml:space="preserve">rands rassemblements (RSB) </w:t>
      </w:r>
      <w:r w:rsidR="00B8651E">
        <w:t xml:space="preserve"> </w:t>
      </w:r>
      <w:r w:rsidR="00F06EB7">
        <w:t xml:space="preserve">et </w:t>
      </w:r>
      <w:r w:rsidR="00B8651E">
        <w:t>de la sécurité à l’étranger (EXT) en raison notamment des voyages sco</w:t>
      </w:r>
      <w:r w:rsidR="00F06EB7">
        <w:t>lai</w:t>
      </w:r>
      <w:r w:rsidR="00B8651E">
        <w:t>res</w:t>
      </w:r>
      <w:r>
        <w:t>, de la mobilité étudiante et des déplacements des chercheurs</w:t>
      </w:r>
      <w:r w:rsidR="00B8651E">
        <w:t xml:space="preserve">. </w:t>
      </w:r>
    </w:p>
    <w:p w:rsidR="002C3DA5" w:rsidRDefault="00F06EB7">
      <w:pPr>
        <w:spacing w:after="120"/>
        <w:jc w:val="both"/>
      </w:pPr>
      <w:r>
        <w:t xml:space="preserve">Les tableaux ci-dessous précisent les </w:t>
      </w:r>
      <w:r w:rsidR="001936D0">
        <w:t xml:space="preserve">objectifs et les mesures à appliquer </w:t>
      </w:r>
      <w:r w:rsidR="00650924">
        <w:t>pour les deux ministères</w:t>
      </w:r>
    </w:p>
    <w:p w:rsidR="004800C8" w:rsidRDefault="004800C8">
      <w:pPr>
        <w:spacing w:after="120"/>
        <w:jc w:val="both"/>
      </w:pPr>
    </w:p>
    <w:p w:rsidR="009C0DE6" w:rsidRPr="001936D0" w:rsidRDefault="009C0DE6" w:rsidP="001936D0">
      <w:pPr>
        <w:pStyle w:val="Paragraphedeliste"/>
        <w:numPr>
          <w:ilvl w:val="0"/>
          <w:numId w:val="21"/>
        </w:numPr>
        <w:spacing w:after="120"/>
        <w:rPr>
          <w:b/>
          <w:u w:val="single"/>
        </w:rPr>
      </w:pPr>
      <w:r w:rsidRPr="001936D0">
        <w:rPr>
          <w:b/>
          <w:u w:val="single"/>
        </w:rPr>
        <w:t>Alerter et intervenir</w:t>
      </w:r>
    </w:p>
    <w:p w:rsidR="001936D0" w:rsidRPr="00C27695" w:rsidRDefault="001936D0" w:rsidP="001936D0">
      <w:pPr>
        <w:pStyle w:val="Paragraphedeliste"/>
        <w:spacing w:after="120"/>
        <w:rPr>
          <w:b/>
          <w:u w:val="single"/>
        </w:rPr>
      </w:pPr>
    </w:p>
    <w:p w:rsidR="00372AE6" w:rsidRDefault="00372AE6" w:rsidP="00372AE6">
      <w:pPr>
        <w:spacing w:after="120"/>
        <w:jc w:val="both"/>
      </w:pPr>
      <w:r>
        <w:t>L</w:t>
      </w:r>
      <w:r w:rsidRPr="00C30228">
        <w:t>’alerte vise à transmettre une information dans l’urgence à tous les acteurs concernés afin de mobiliser immédiatement les moyens d’intervention et d’adapter les mesures de protection. Ce domaine d’action mobilise des moyens divers et</w:t>
      </w:r>
      <w:r w:rsidRPr="000003C1">
        <w:t xml:space="preserve"> complémentaires qui doivent être entretenus, être disponibles en permanence et pouvoir fonctionner en situation dégradée. </w:t>
      </w:r>
    </w:p>
    <w:p w:rsidR="00335563" w:rsidRPr="00335563" w:rsidRDefault="00372AE6" w:rsidP="00335563">
      <w:pPr>
        <w:spacing w:after="120"/>
        <w:jc w:val="both"/>
        <w:rPr>
          <w:color w:val="000000"/>
        </w:rPr>
      </w:pPr>
      <w:r w:rsidRPr="000003C1">
        <w:t xml:space="preserve">L’alerte en cas de menace imminente d’attentat ou d’attentat réalisé est </w:t>
      </w:r>
      <w:r w:rsidRPr="00170286">
        <w:rPr>
          <w:b/>
        </w:rPr>
        <w:t>d’abord assurée par</w:t>
      </w:r>
      <w:r w:rsidRPr="000003C1">
        <w:t xml:space="preserve"> </w:t>
      </w:r>
      <w:r w:rsidRPr="00170286">
        <w:rPr>
          <w:b/>
        </w:rPr>
        <w:t>l’Etat, ses administrations et ses services</w:t>
      </w:r>
      <w:r w:rsidRPr="000003C1">
        <w:t xml:space="preserve">. Elle est ensuite relayée par d’autres acteurs : les collectivités territoriales et les opérateurs. Les responsables de chaque secteur d’activité doivent également être en mesure de déclencher une alerte selon la nature de la crise. </w:t>
      </w:r>
      <w:r w:rsidR="00170286">
        <w:t xml:space="preserve">On notera à cet égard que l’alerte au </w:t>
      </w:r>
      <w:r w:rsidR="00335563" w:rsidRPr="00335563">
        <w:rPr>
          <w:color w:val="000000"/>
        </w:rPr>
        <w:t xml:space="preserve">public </w:t>
      </w:r>
      <w:r w:rsidR="00335563">
        <w:rPr>
          <w:color w:val="000000"/>
        </w:rPr>
        <w:t xml:space="preserve">peut se faire par </w:t>
      </w:r>
      <w:r w:rsidR="00335563" w:rsidRPr="00335563">
        <w:rPr>
          <w:color w:val="000000"/>
        </w:rPr>
        <w:t xml:space="preserve">sirène </w:t>
      </w:r>
      <w:r w:rsidR="008410BE">
        <w:rPr>
          <w:color w:val="000000"/>
        </w:rPr>
        <w:t>du réseau national d’alerte,</w:t>
      </w:r>
      <w:r w:rsidR="00335563" w:rsidRPr="00335563">
        <w:rPr>
          <w:color w:val="000000"/>
        </w:rPr>
        <w:t xml:space="preserve"> médias et tout autre vecteur</w:t>
      </w:r>
      <w:r w:rsidR="00335563">
        <w:rPr>
          <w:color w:val="000000"/>
        </w:rPr>
        <w:t>.</w:t>
      </w:r>
    </w:p>
    <w:p w:rsidR="009C0DE6" w:rsidRPr="000003C1" w:rsidRDefault="009C0DE6" w:rsidP="009C0DE6">
      <w:pPr>
        <w:pStyle w:val="Standard"/>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7"/>
      </w:tblGrid>
      <w:tr w:rsidR="003B10AC" w:rsidRPr="000003C1" w:rsidTr="00C30DEA">
        <w:tc>
          <w:tcPr>
            <w:tcW w:w="11270" w:type="dxa"/>
          </w:tcPr>
          <w:p w:rsidR="0009028A" w:rsidRDefault="0009028A" w:rsidP="00C30DEA">
            <w:pPr>
              <w:spacing w:after="120"/>
              <w:jc w:val="both"/>
              <w:rPr>
                <w:b/>
              </w:rPr>
            </w:pPr>
          </w:p>
          <w:p w:rsidR="00372AE6" w:rsidRDefault="00372AE6" w:rsidP="00C30DEA">
            <w:pPr>
              <w:spacing w:after="120"/>
              <w:jc w:val="both"/>
              <w:rPr>
                <w:b/>
              </w:rPr>
            </w:pPr>
            <w:r>
              <w:rPr>
                <w:b/>
              </w:rPr>
              <w:t xml:space="preserve">Objectifs et mesures: </w:t>
            </w:r>
          </w:p>
          <w:p w:rsidR="00372AE6" w:rsidRDefault="00372AE6" w:rsidP="00C30DEA">
            <w:pPr>
              <w:spacing w:after="120"/>
              <w:jc w:val="both"/>
              <w:rPr>
                <w:b/>
              </w:rPr>
            </w:pPr>
            <w:r>
              <w:rPr>
                <w:b/>
              </w:rPr>
              <w:t>1 Alerter et communiquer</w:t>
            </w:r>
          </w:p>
          <w:p w:rsidR="00372AE6" w:rsidRDefault="0026423E" w:rsidP="0026423E">
            <w:pPr>
              <w:pStyle w:val="Paragraphedeliste"/>
              <w:numPr>
                <w:ilvl w:val="2"/>
                <w:numId w:val="5"/>
              </w:numPr>
              <w:spacing w:after="120"/>
              <w:jc w:val="both"/>
              <w:rPr>
                <w:color w:val="000000"/>
              </w:rPr>
            </w:pPr>
            <w:r w:rsidRPr="0026423E">
              <w:rPr>
                <w:color w:val="000000"/>
              </w:rPr>
              <w:t>Disposer d’une chaîne d’alerte et d’information la plus large possible, la vérifier et la tester régulièrement</w:t>
            </w:r>
            <w:r w:rsidR="000B62C0">
              <w:rPr>
                <w:color w:val="000000"/>
              </w:rPr>
              <w:t xml:space="preserve"> (ALR 10.01</w:t>
            </w:r>
            <w:r w:rsidR="00372AE6">
              <w:rPr>
                <w:color w:val="000000"/>
              </w:rPr>
              <w:t xml:space="preserve">) : veiller à la réalité des permanences, à la disposition des répertoires d’urgence, </w:t>
            </w:r>
            <w:r w:rsidR="00170286">
              <w:rPr>
                <w:color w:val="000000"/>
              </w:rPr>
              <w:t xml:space="preserve">au bon état </w:t>
            </w:r>
            <w:r w:rsidR="00372AE6">
              <w:rPr>
                <w:color w:val="000000"/>
              </w:rPr>
              <w:t>des moyens de communication ;</w:t>
            </w:r>
          </w:p>
          <w:p w:rsidR="003B10AC" w:rsidRPr="00170286" w:rsidRDefault="00372AE6" w:rsidP="00335563">
            <w:pPr>
              <w:pStyle w:val="Paragraphedeliste"/>
              <w:numPr>
                <w:ilvl w:val="2"/>
                <w:numId w:val="5"/>
              </w:numPr>
              <w:spacing w:after="120"/>
              <w:jc w:val="both"/>
              <w:rPr>
                <w:color w:val="000000"/>
              </w:rPr>
            </w:pPr>
            <w:r w:rsidRPr="00170286">
              <w:rPr>
                <w:color w:val="000000"/>
              </w:rPr>
              <w:t>En cas de crise être en mesure d’activer une cellule de crise (ALR 11-01)</w:t>
            </w:r>
            <w:r w:rsidR="00170286">
              <w:rPr>
                <w:color w:val="000000"/>
              </w:rPr>
              <w:t> ;</w:t>
            </w:r>
          </w:p>
          <w:p w:rsidR="00372AE6" w:rsidRPr="00372AE6" w:rsidRDefault="00372AE6" w:rsidP="00372AE6">
            <w:pPr>
              <w:spacing w:after="120"/>
              <w:jc w:val="both"/>
              <w:rPr>
                <w:b/>
                <w:color w:val="000000"/>
              </w:rPr>
            </w:pPr>
            <w:r w:rsidRPr="00372AE6">
              <w:rPr>
                <w:b/>
                <w:color w:val="000000"/>
              </w:rPr>
              <w:t>2 Mobiliser et intervenir</w:t>
            </w:r>
          </w:p>
          <w:p w:rsidR="0026423E" w:rsidRDefault="0026423E" w:rsidP="0026423E">
            <w:pPr>
              <w:pStyle w:val="Paragraphedeliste"/>
              <w:numPr>
                <w:ilvl w:val="2"/>
                <w:numId w:val="5"/>
              </w:numPr>
              <w:spacing w:after="120"/>
              <w:jc w:val="both"/>
              <w:rPr>
                <w:color w:val="000000"/>
              </w:rPr>
            </w:pPr>
            <w:r w:rsidRPr="000003C1">
              <w:rPr>
                <w:color w:val="000000"/>
              </w:rPr>
              <w:t>Elaborer et mettre à jour un plan de continuité d’activité</w:t>
            </w:r>
            <w:r w:rsidR="000B62C0">
              <w:rPr>
                <w:color w:val="000000"/>
              </w:rPr>
              <w:t xml:space="preserve"> (ALR 20.01)</w:t>
            </w:r>
            <w:r w:rsidR="00170286">
              <w:rPr>
                <w:color w:val="000000"/>
              </w:rPr>
              <w:t xml:space="preserve"> pour les services et les établissements.</w:t>
            </w:r>
          </w:p>
          <w:p w:rsidR="0026423E" w:rsidRPr="000003C1" w:rsidRDefault="0026423E" w:rsidP="00335563">
            <w:pPr>
              <w:pStyle w:val="Paragraphedeliste"/>
              <w:spacing w:after="120"/>
              <w:ind w:left="1080"/>
              <w:jc w:val="both"/>
            </w:pPr>
          </w:p>
        </w:tc>
      </w:tr>
    </w:tbl>
    <w:p w:rsidR="001936D0" w:rsidRDefault="001936D0" w:rsidP="001936D0">
      <w:pPr>
        <w:spacing w:before="120"/>
        <w:rPr>
          <w:b/>
          <w:u w:val="single"/>
        </w:rPr>
      </w:pPr>
    </w:p>
    <w:p w:rsidR="009C0DE6" w:rsidRPr="00C27695" w:rsidRDefault="009C0DE6" w:rsidP="001936D0">
      <w:pPr>
        <w:pStyle w:val="Paragraphedeliste"/>
        <w:numPr>
          <w:ilvl w:val="0"/>
          <w:numId w:val="21"/>
        </w:numPr>
        <w:spacing w:before="120"/>
        <w:rPr>
          <w:b/>
          <w:u w:val="single"/>
        </w:rPr>
      </w:pPr>
      <w:r w:rsidRPr="00C27695">
        <w:rPr>
          <w:b/>
          <w:u w:val="single"/>
        </w:rPr>
        <w:t>Protéger les installations et bâtiments (lieux circonscrits par une enceinte)</w:t>
      </w:r>
    </w:p>
    <w:p w:rsidR="00335563" w:rsidRPr="00C27695" w:rsidRDefault="00335563" w:rsidP="00335563">
      <w:pPr>
        <w:spacing w:after="120"/>
        <w:jc w:val="both"/>
        <w:rPr>
          <w:u w:val="single"/>
        </w:rPr>
      </w:pPr>
    </w:p>
    <w:p w:rsidR="00335563" w:rsidRPr="000003C1" w:rsidRDefault="00335563" w:rsidP="00335563">
      <w:pPr>
        <w:spacing w:after="120"/>
        <w:jc w:val="both"/>
      </w:pPr>
      <w:r w:rsidRPr="00C30228">
        <w:t xml:space="preserve">Le domaine des installations et bâtiments concerne l’ensemble des édifices qui peuvent constituer des cibles potentielles, soit en raison de leur valeur symbolique, économique, politique, soit en raison du public qu’ils accueillent. Il est donc commun à de très nombreux secteurs </w:t>
      </w:r>
      <w:r w:rsidR="00170286">
        <w:t>et établissements recevant du public</w:t>
      </w:r>
      <w:r w:rsidRPr="00C30228">
        <w:t xml:space="preserve"> comme les administ</w:t>
      </w:r>
      <w:r w:rsidRPr="000003C1">
        <w:t xml:space="preserve">rations, les entreprises, les commerces, les lieux touristiques, les lieux de culte, </w:t>
      </w:r>
      <w:r w:rsidRPr="00335563">
        <w:rPr>
          <w:b/>
        </w:rPr>
        <w:t>les établissements d’enseignement</w:t>
      </w:r>
      <w:r w:rsidR="001D244B">
        <w:rPr>
          <w:b/>
        </w:rPr>
        <w:t xml:space="preserve"> </w:t>
      </w:r>
      <w:r w:rsidR="001D244B">
        <w:t>incluant ceux de l’enseignement supérieur et de la recherche</w:t>
      </w:r>
      <w:r w:rsidR="00650924">
        <w:rPr>
          <w:b/>
        </w:rPr>
        <w:t xml:space="preserve"> </w:t>
      </w:r>
      <w:r w:rsidRPr="00335563">
        <w:rPr>
          <w:b/>
        </w:rPr>
        <w:t>…</w:t>
      </w:r>
      <w:r w:rsidRPr="000003C1">
        <w:t xml:space="preserve"> </w:t>
      </w:r>
    </w:p>
    <w:p w:rsidR="00852698" w:rsidRDefault="00FA58F3" w:rsidP="00335563">
      <w:pPr>
        <w:spacing w:after="120"/>
        <w:jc w:val="both"/>
      </w:pPr>
      <w:r>
        <w:t>L’architecture de ces derniers permet rarement d’empêcher physiquement toute intrusion. De plus la concentration des flux d’entrée et de sorties est peu compatible avec des dispositifs tels que des portiques de détection ou des sas de sécurité</w:t>
      </w:r>
      <w:r w:rsidR="00852698">
        <w:t xml:space="preserve">. </w:t>
      </w:r>
    </w:p>
    <w:p w:rsidR="00852698" w:rsidRDefault="00FA58F3" w:rsidP="00852698">
      <w:pPr>
        <w:spacing w:after="120"/>
        <w:jc w:val="both"/>
        <w:rPr>
          <w:rFonts w:eastAsia="Times New Roman"/>
          <w:color w:val="000000"/>
        </w:rPr>
      </w:pPr>
      <w:r>
        <w:lastRenderedPageBreak/>
        <w:t xml:space="preserve">C’est pourquoi, en tenant compte des diagnostics de sécurité, une attention doit être portée à la surveillance </w:t>
      </w:r>
      <w:r w:rsidR="00852698">
        <w:t>à l’entrée et à l’intérieur, ainsi qu’à la coordination avec  les services de sécurité publique pour ce qui concerne les abords et</w:t>
      </w:r>
      <w:r w:rsidR="00650924">
        <w:t xml:space="preserve"> </w:t>
      </w:r>
      <w:r w:rsidR="00852698">
        <w:t>les collectivités de rattachement pour ce qui concerne les équipements</w:t>
      </w:r>
      <w:r w:rsidR="001D244B">
        <w:t xml:space="preserve"> des établissem</w:t>
      </w:r>
      <w:r w:rsidR="008410BE">
        <w:t>e</w:t>
      </w:r>
      <w:r w:rsidR="001D244B">
        <w:t>nts scolaires.</w:t>
      </w:r>
      <w:r w:rsidR="00852698">
        <w:t xml:space="preserve"> A cet égard l</w:t>
      </w:r>
      <w:r w:rsidR="00335563" w:rsidRPr="00C30228">
        <w:rPr>
          <w:rFonts w:eastAsia="Times New Roman"/>
          <w:color w:val="000000"/>
        </w:rPr>
        <w:t xml:space="preserve">a règlementation applicable aux établissements recevant du public (ERP) concourt à leur protection contre la menace terroriste, en permettant de limiter les risques d’incendie, d’alerter les occupants en cas de danger, de faciliter l’évacuation, d’alerter les secours et de faciliter leur intervention. </w:t>
      </w:r>
    </w:p>
    <w:p w:rsidR="00335563" w:rsidRDefault="00335563" w:rsidP="00852698">
      <w:pPr>
        <w:spacing w:after="120"/>
        <w:jc w:val="both"/>
        <w:rPr>
          <w:rFonts w:eastAsia="Times New Roman"/>
          <w:color w:val="000000"/>
        </w:rPr>
      </w:pPr>
      <w:r>
        <w:rPr>
          <w:rFonts w:eastAsia="Times New Roman"/>
          <w:color w:val="000000"/>
        </w:rPr>
        <w:t>D</w:t>
      </w:r>
      <w:r w:rsidR="00852698">
        <w:rPr>
          <w:rFonts w:eastAsia="Times New Roman"/>
          <w:color w:val="000000"/>
        </w:rPr>
        <w:t xml:space="preserve">ans le cadre de cette coordination, </w:t>
      </w:r>
      <w:r>
        <w:rPr>
          <w:rFonts w:eastAsia="Times New Roman"/>
          <w:color w:val="000000"/>
        </w:rPr>
        <w:t>le chef d’établissement</w:t>
      </w:r>
      <w:r w:rsidR="00650924">
        <w:rPr>
          <w:rFonts w:eastAsia="Times New Roman"/>
          <w:color w:val="000000"/>
        </w:rPr>
        <w:t xml:space="preserve"> tant pour l’éducation que pour l’enseignement supérieur et la recherche</w:t>
      </w:r>
      <w:r>
        <w:rPr>
          <w:rFonts w:eastAsia="Times New Roman"/>
          <w:color w:val="000000"/>
        </w:rPr>
        <w:t xml:space="preserve">  prend toute</w:t>
      </w:r>
      <w:r w:rsidR="00852698">
        <w:rPr>
          <w:rFonts w:eastAsia="Times New Roman"/>
          <w:color w:val="000000"/>
        </w:rPr>
        <w:t xml:space="preserve"> disposition</w:t>
      </w:r>
      <w:r>
        <w:rPr>
          <w:rFonts w:eastAsia="Times New Roman"/>
          <w:color w:val="000000"/>
        </w:rPr>
        <w:t xml:space="preserve"> de nature à assurer la sécurité</w:t>
      </w:r>
      <w:r w:rsidR="00FA58F3">
        <w:rPr>
          <w:rFonts w:eastAsia="Times New Roman"/>
          <w:color w:val="000000"/>
        </w:rPr>
        <w:t xml:space="preserve"> des personnes et des biens</w:t>
      </w:r>
      <w:r w:rsidR="00852698">
        <w:rPr>
          <w:rFonts w:eastAsia="Times New Roman"/>
          <w:color w:val="000000"/>
        </w:rPr>
        <w:t xml:space="preserve">. </w:t>
      </w:r>
      <w:r>
        <w:rPr>
          <w:rFonts w:eastAsia="Times New Roman"/>
          <w:color w:val="000000"/>
        </w:rPr>
        <w:t xml:space="preserve"> </w:t>
      </w:r>
      <w:r w:rsidR="00852698">
        <w:rPr>
          <w:rFonts w:eastAsia="Times New Roman"/>
          <w:color w:val="000000"/>
        </w:rPr>
        <w:t xml:space="preserve">Cependant l’adhésion des personnels, des élèves et de leurs parents </w:t>
      </w:r>
      <w:r w:rsidR="00650924">
        <w:rPr>
          <w:rFonts w:eastAsia="Times New Roman"/>
          <w:color w:val="000000"/>
        </w:rPr>
        <w:t xml:space="preserve">ainsi que des étudiants </w:t>
      </w:r>
      <w:r w:rsidR="00852698">
        <w:rPr>
          <w:rFonts w:eastAsia="Times New Roman"/>
          <w:color w:val="000000"/>
        </w:rPr>
        <w:t>aux dispositions de sécurité, qui devraient figurer dans l</w:t>
      </w:r>
      <w:r w:rsidR="00170286">
        <w:rPr>
          <w:rFonts w:eastAsia="Times New Roman"/>
          <w:color w:val="000000"/>
        </w:rPr>
        <w:t>es</w:t>
      </w:r>
      <w:r w:rsidR="00852698">
        <w:rPr>
          <w:rFonts w:eastAsia="Times New Roman"/>
          <w:color w:val="000000"/>
        </w:rPr>
        <w:t xml:space="preserve"> règlement</w:t>
      </w:r>
      <w:r w:rsidR="00170286">
        <w:rPr>
          <w:rFonts w:eastAsia="Times New Roman"/>
          <w:color w:val="000000"/>
        </w:rPr>
        <w:t>s</w:t>
      </w:r>
      <w:r w:rsidR="00852698">
        <w:rPr>
          <w:rFonts w:eastAsia="Times New Roman"/>
          <w:color w:val="000000"/>
        </w:rPr>
        <w:t xml:space="preserve"> intérieur</w:t>
      </w:r>
      <w:r w:rsidR="00170286">
        <w:rPr>
          <w:rFonts w:eastAsia="Times New Roman"/>
          <w:color w:val="000000"/>
        </w:rPr>
        <w:t>s</w:t>
      </w:r>
      <w:r w:rsidR="00852698">
        <w:rPr>
          <w:rFonts w:eastAsia="Times New Roman"/>
          <w:color w:val="000000"/>
        </w:rPr>
        <w:t>, est nécessaire.</w:t>
      </w:r>
    </w:p>
    <w:p w:rsidR="009C0DE6" w:rsidRPr="000003C1" w:rsidRDefault="009C0DE6" w:rsidP="009C0DE6">
      <w:pPr>
        <w:pStyle w:val="Standard"/>
        <w:jc w:val="cente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47F64" w:rsidRPr="000003C1" w:rsidTr="00647F64">
        <w:tc>
          <w:tcPr>
            <w:tcW w:w="9322" w:type="dxa"/>
          </w:tcPr>
          <w:p w:rsidR="00FA58F3" w:rsidRDefault="00FA58F3" w:rsidP="00FA58F3">
            <w:pPr>
              <w:pStyle w:val="Standard"/>
              <w:spacing w:after="120"/>
              <w:jc w:val="both"/>
              <w:rPr>
                <w:rFonts w:ascii="Times New Roman" w:hAnsi="Times New Roman" w:cs="Times New Roman"/>
                <w:b/>
              </w:rPr>
            </w:pPr>
          </w:p>
          <w:p w:rsidR="00FA58F3" w:rsidRPr="00E52051" w:rsidRDefault="00FA58F3" w:rsidP="00FA58F3">
            <w:pPr>
              <w:pStyle w:val="Standard"/>
              <w:spacing w:after="120"/>
              <w:jc w:val="both"/>
              <w:rPr>
                <w:rFonts w:ascii="Times New Roman" w:hAnsi="Times New Roman" w:cs="Times New Roman"/>
              </w:rPr>
            </w:pPr>
            <w:r w:rsidRPr="00FA58F3">
              <w:rPr>
                <w:rFonts w:ascii="Times New Roman" w:hAnsi="Times New Roman" w:cs="Times New Roman"/>
                <w:b/>
              </w:rPr>
              <w:t>Objectifs :</w:t>
            </w:r>
            <w:r w:rsidRPr="00FA58F3">
              <w:rPr>
                <w:rFonts w:ascii="Times New Roman" w:hAnsi="Times New Roman" w:cs="Times New Roman"/>
              </w:rPr>
              <w:t xml:space="preserve"> surveiller,</w:t>
            </w:r>
            <w:r>
              <w:t xml:space="preserve"> </w:t>
            </w:r>
            <w:r w:rsidRPr="00E52051">
              <w:rPr>
                <w:rFonts w:ascii="Times New Roman" w:eastAsia="Times New Roman" w:hAnsi="Times New Roman" w:cs="Times New Roman"/>
                <w:color w:val="000000"/>
              </w:rPr>
              <w:t>c</w:t>
            </w:r>
            <w:r w:rsidRPr="00E52051">
              <w:rPr>
                <w:rFonts w:ascii="Times New Roman" w:hAnsi="Times New Roman" w:cs="Times New Roman"/>
              </w:rPr>
              <w:t xml:space="preserve">ontrôler et filtrer les entrées </w:t>
            </w:r>
            <w:r>
              <w:rPr>
                <w:rFonts w:ascii="Times New Roman" w:hAnsi="Times New Roman" w:cs="Times New Roman"/>
              </w:rPr>
              <w:t xml:space="preserve">et la circulation </w:t>
            </w:r>
            <w:r w:rsidRPr="00E52051">
              <w:rPr>
                <w:rFonts w:ascii="Times New Roman" w:hAnsi="Times New Roman" w:cs="Times New Roman"/>
              </w:rPr>
              <w:t xml:space="preserve">dans les bâtiments </w:t>
            </w:r>
            <w:r w:rsidR="001D244B">
              <w:rPr>
                <w:rFonts w:ascii="Times New Roman" w:hAnsi="Times New Roman" w:cs="Times New Roman"/>
              </w:rPr>
              <w:t xml:space="preserve">et enceintes des établissements </w:t>
            </w:r>
            <w:r w:rsidRPr="00E52051">
              <w:rPr>
                <w:rFonts w:ascii="Times New Roman" w:hAnsi="Times New Roman" w:cs="Times New Roman"/>
              </w:rPr>
              <w:t xml:space="preserve">de manière à identifier toute personne </w:t>
            </w:r>
            <w:r>
              <w:rPr>
                <w:rFonts w:ascii="Times New Roman" w:hAnsi="Times New Roman" w:cs="Times New Roman"/>
              </w:rPr>
              <w:t xml:space="preserve">ou objet suspect </w:t>
            </w:r>
            <w:r w:rsidRPr="00E52051">
              <w:rPr>
                <w:rFonts w:ascii="Times New Roman" w:hAnsi="Times New Roman" w:cs="Times New Roman"/>
              </w:rPr>
              <w:t xml:space="preserve">et être en mesure </w:t>
            </w:r>
            <w:r>
              <w:rPr>
                <w:rFonts w:ascii="Times New Roman" w:hAnsi="Times New Roman" w:cs="Times New Roman"/>
              </w:rPr>
              <w:t>soit d’empêcher l’accès, soit d</w:t>
            </w:r>
            <w:r w:rsidRPr="00E52051">
              <w:rPr>
                <w:rFonts w:ascii="Times New Roman" w:hAnsi="Times New Roman" w:cs="Times New Roman"/>
              </w:rPr>
              <w:t xml:space="preserve">e donner l'alerte </w:t>
            </w:r>
            <w:r w:rsidR="00C30DEA">
              <w:rPr>
                <w:rFonts w:ascii="Times New Roman" w:hAnsi="Times New Roman" w:cs="Times New Roman"/>
              </w:rPr>
              <w:t xml:space="preserve">et mettre la population à l’abri </w:t>
            </w:r>
            <w:r w:rsidRPr="00E52051">
              <w:rPr>
                <w:rFonts w:ascii="Times New Roman" w:hAnsi="Times New Roman" w:cs="Times New Roman"/>
              </w:rPr>
              <w:t>en cas d'intrusion ou de flagrant délit.</w:t>
            </w:r>
          </w:p>
          <w:p w:rsidR="00647F64" w:rsidRPr="00547B7F" w:rsidRDefault="00F364B0" w:rsidP="00C27695">
            <w:pPr>
              <w:pStyle w:val="Standard"/>
              <w:spacing w:after="120"/>
              <w:jc w:val="both"/>
              <w:rPr>
                <w:rFonts w:hint="eastAsia"/>
                <w:b/>
              </w:rPr>
            </w:pPr>
            <w:r>
              <w:rPr>
                <w:rFonts w:ascii="Times New Roman" w:eastAsia="Times New Roman" w:hAnsi="Times New Roman" w:cs="Times New Roman"/>
                <w:color w:val="000000"/>
              </w:rPr>
              <w:t>.</w:t>
            </w:r>
            <w:r w:rsidR="0026423E" w:rsidRPr="00547B7F">
              <w:rPr>
                <w:b/>
              </w:rPr>
              <w:t>Mesures :</w:t>
            </w:r>
          </w:p>
          <w:p w:rsidR="0026423E" w:rsidRDefault="00FD543C" w:rsidP="00E52051">
            <w:pPr>
              <w:pStyle w:val="Paragraphedeliste"/>
              <w:numPr>
                <w:ilvl w:val="2"/>
                <w:numId w:val="5"/>
              </w:numPr>
              <w:spacing w:after="120"/>
              <w:jc w:val="both"/>
            </w:pPr>
            <w:r>
              <w:t>adapter la sûreté des accès</w:t>
            </w:r>
            <w:r w:rsidR="000B62C0">
              <w:t xml:space="preserve"> </w:t>
            </w:r>
            <w:r w:rsidR="00E52051">
              <w:t xml:space="preserve">en surveillant les accès des personnes, des véhicules et objets entrant dans l’établissement (mesures (BAT 20-01, 21-01, 22-01, 23-01) ; </w:t>
            </w:r>
          </w:p>
          <w:p w:rsidR="00C03C07" w:rsidRDefault="00C03C07" w:rsidP="00C03C07">
            <w:pPr>
              <w:pStyle w:val="Paragraphedeliste"/>
              <w:spacing w:after="120"/>
              <w:ind w:left="1080"/>
              <w:jc w:val="both"/>
            </w:pPr>
          </w:p>
          <w:p w:rsidR="00FD543C" w:rsidRDefault="00FD543C" w:rsidP="000B62C0">
            <w:pPr>
              <w:pStyle w:val="Paragraphedeliste"/>
              <w:numPr>
                <w:ilvl w:val="2"/>
                <w:numId w:val="5"/>
              </w:numPr>
              <w:spacing w:after="120"/>
              <w:jc w:val="both"/>
            </w:pPr>
            <w:r>
              <w:t>adapter la sûreté interne</w:t>
            </w:r>
            <w:r w:rsidR="000B62C0">
              <w:t xml:space="preserve"> </w:t>
            </w:r>
            <w:r w:rsidR="00E52051">
              <w:t xml:space="preserve">en réglementant l’accès aux zones internes sensibles, en surveillant la circulation interne </w:t>
            </w:r>
            <w:r w:rsidR="000B62C0">
              <w:t>(</w:t>
            </w:r>
            <w:r w:rsidR="00E52051">
              <w:t xml:space="preserve">mesures </w:t>
            </w:r>
            <w:r w:rsidR="000B62C0">
              <w:t>BAT 30-01, 30-02, 31-01)</w:t>
            </w:r>
            <w:r w:rsidR="00C03C07">
              <w:t> ;</w:t>
            </w:r>
          </w:p>
          <w:p w:rsidR="008D1E19" w:rsidRDefault="008D1E19" w:rsidP="008D1E19">
            <w:pPr>
              <w:pStyle w:val="Paragraphedeliste"/>
              <w:spacing w:after="120"/>
              <w:ind w:left="1080"/>
              <w:jc w:val="both"/>
            </w:pPr>
          </w:p>
          <w:p w:rsidR="002C3DA5" w:rsidRDefault="00B666E0">
            <w:pPr>
              <w:pStyle w:val="Paragraphedeliste"/>
              <w:numPr>
                <w:ilvl w:val="2"/>
                <w:numId w:val="5"/>
              </w:numPr>
              <w:jc w:val="both"/>
            </w:pPr>
            <w:r>
              <w:t xml:space="preserve">dans les </w:t>
            </w:r>
            <w:r w:rsidRPr="00650924">
              <w:rPr>
                <w:b/>
                <w:i/>
              </w:rPr>
              <w:t>sites les plus sensibles</w:t>
            </w:r>
            <w:r>
              <w:t xml:space="preserve">, ou dans l’ensemble des établissements en cas de situation correspondant à un niveau </w:t>
            </w:r>
            <w:r w:rsidRPr="00650924">
              <w:rPr>
                <w:b/>
                <w:i/>
              </w:rPr>
              <w:t>d’alerte renforcée</w:t>
            </w:r>
            <w:r>
              <w:t xml:space="preserve">, </w:t>
            </w:r>
            <w:r w:rsidR="008D1E19">
              <w:t>c</w:t>
            </w:r>
            <w:r w:rsidR="008D1E19" w:rsidRPr="00D7733F">
              <w:t xml:space="preserve">ontrôler les entrées </w:t>
            </w:r>
            <w:r w:rsidR="00E52051">
              <w:t>des personnes, des véhicules ou des objets entrant (dont le courrier)</w:t>
            </w:r>
            <w:r w:rsidR="00852698">
              <w:t xml:space="preserve"> par des inspections visuelles ou fouilles</w:t>
            </w:r>
            <w:r>
              <w:t xml:space="preserve"> </w:t>
            </w:r>
            <w:r w:rsidR="00852698">
              <w:t>avec  le consentement des intéressés</w:t>
            </w:r>
            <w:r>
              <w:t xml:space="preserve"> </w:t>
            </w:r>
          </w:p>
          <w:p w:rsidR="008D1E19" w:rsidRPr="00852698" w:rsidRDefault="00B666E0" w:rsidP="008D1E19">
            <w:pPr>
              <w:pStyle w:val="Paragraphedeliste"/>
              <w:numPr>
                <w:ilvl w:val="2"/>
                <w:numId w:val="5"/>
              </w:numPr>
              <w:jc w:val="both"/>
              <w:rPr>
                <w:b/>
                <w:u w:val="single"/>
              </w:rPr>
            </w:pPr>
            <w:r>
              <w:t xml:space="preserve">En cas de péril imminent, dans un contexte </w:t>
            </w:r>
            <w:r w:rsidRPr="00B666E0">
              <w:rPr>
                <w:b/>
                <w:i/>
              </w:rPr>
              <w:t>d’alerte attentat</w:t>
            </w:r>
            <w:r>
              <w:t xml:space="preserve"> </w:t>
            </w:r>
            <w:r w:rsidR="00852698">
              <w:t>c</w:t>
            </w:r>
            <w:r w:rsidR="008D1E19">
              <w:t>onfine</w:t>
            </w:r>
            <w:r w:rsidR="00852698">
              <w:t>r les élèves</w:t>
            </w:r>
            <w:r w:rsidR="00650924">
              <w:t xml:space="preserve">, les étudiants </w:t>
            </w:r>
            <w:r w:rsidR="008D1E19">
              <w:t>ou</w:t>
            </w:r>
            <w:r w:rsidR="0009028A">
              <w:t xml:space="preserve"> si cela s’avère nécessaire,</w:t>
            </w:r>
            <w:r w:rsidR="008D1E19">
              <w:t xml:space="preserve"> </w:t>
            </w:r>
            <w:r w:rsidR="008D1E19" w:rsidRPr="00D7733F">
              <w:t>ferme</w:t>
            </w:r>
            <w:r w:rsidR="00852698">
              <w:t>r préventivement l’</w:t>
            </w:r>
            <w:r w:rsidR="008D1E19" w:rsidRPr="00D7733F">
              <w:t>établissement</w:t>
            </w:r>
            <w:r>
              <w:t xml:space="preserve"> en liaison avec l’autorité académique et préfectorale ou le maire s’agissant des écoles.</w:t>
            </w:r>
          </w:p>
          <w:p w:rsidR="004800C8" w:rsidRDefault="004800C8" w:rsidP="00FD543C">
            <w:pPr>
              <w:pStyle w:val="Standard"/>
              <w:rPr>
                <w:rFonts w:ascii="Times New Roman" w:hAnsi="Times New Roman" w:cs="Times New Roman"/>
                <w:b/>
              </w:rPr>
            </w:pPr>
          </w:p>
          <w:p w:rsidR="00FD543C" w:rsidRDefault="00FD543C" w:rsidP="00FD543C">
            <w:pPr>
              <w:pStyle w:val="Standard"/>
              <w:rPr>
                <w:rFonts w:ascii="Times New Roman" w:hAnsi="Times New Roman" w:cs="Times New Roman"/>
                <w:b/>
              </w:rPr>
            </w:pPr>
            <w:r w:rsidRPr="008D1E19">
              <w:rPr>
                <w:rFonts w:ascii="Times New Roman" w:hAnsi="Times New Roman" w:cs="Times New Roman"/>
                <w:b/>
              </w:rPr>
              <w:t xml:space="preserve">Recommandations </w:t>
            </w:r>
            <w:r w:rsidR="00852698">
              <w:rPr>
                <w:rFonts w:ascii="Times New Roman" w:hAnsi="Times New Roman" w:cs="Times New Roman"/>
                <w:b/>
              </w:rPr>
              <w:t xml:space="preserve">permanentes de </w:t>
            </w:r>
            <w:r w:rsidRPr="008D1E19">
              <w:rPr>
                <w:rFonts w:ascii="Times New Roman" w:hAnsi="Times New Roman" w:cs="Times New Roman"/>
                <w:b/>
              </w:rPr>
              <w:t>sécurité</w:t>
            </w:r>
          </w:p>
          <w:p w:rsidR="00942636" w:rsidRPr="008D1E19" w:rsidRDefault="00942636" w:rsidP="00FD543C">
            <w:pPr>
              <w:pStyle w:val="Standard"/>
              <w:rPr>
                <w:rFonts w:ascii="Times New Roman" w:hAnsi="Times New Roman" w:cs="Times New Roman"/>
                <w:b/>
              </w:rPr>
            </w:pPr>
          </w:p>
          <w:p w:rsidR="00942636" w:rsidRPr="00942636" w:rsidRDefault="00942636" w:rsidP="00942636">
            <w:pPr>
              <w:pStyle w:val="Textbody"/>
              <w:numPr>
                <w:ilvl w:val="0"/>
                <w:numId w:val="12"/>
              </w:numPr>
              <w:spacing w:after="0"/>
              <w:jc w:val="both"/>
              <w:rPr>
                <w:rFonts w:ascii="Times New Roman" w:hAnsi="Times New Roman" w:cs="Times New Roman"/>
                <w:u w:val="single"/>
              </w:rPr>
            </w:pPr>
            <w:r w:rsidRPr="00942636">
              <w:rPr>
                <w:rFonts w:ascii="Times New Roman" w:hAnsi="Times New Roman" w:cs="Times New Roman"/>
              </w:rPr>
              <w:t>C</w:t>
            </w:r>
            <w:r w:rsidRPr="00942636">
              <w:rPr>
                <w:rFonts w:ascii="Times New Roman" w:hAnsi="Times New Roman" w:cs="Times New Roman"/>
              </w:rPr>
              <w:t>ontrôler les clôtures et systèmes d’alarme ou de surveillance, vérifier les dispositifs d’évacuation rapide ;</w:t>
            </w:r>
          </w:p>
          <w:p w:rsidR="00852698" w:rsidRPr="0026423E" w:rsidRDefault="00FD543C" w:rsidP="00852698">
            <w:pPr>
              <w:pStyle w:val="Textbody"/>
              <w:numPr>
                <w:ilvl w:val="0"/>
                <w:numId w:val="12"/>
              </w:numPr>
              <w:spacing w:after="0"/>
              <w:jc w:val="both"/>
              <w:rPr>
                <w:rFonts w:ascii="Times New Roman" w:hAnsi="Times New Roman" w:cs="Times New Roman"/>
                <w:u w:val="single"/>
              </w:rPr>
            </w:pPr>
            <w:r w:rsidRPr="000003C1">
              <w:rPr>
                <w:rFonts w:ascii="Times New Roman" w:hAnsi="Times New Roman" w:cs="Times New Roman"/>
              </w:rPr>
              <w:t>Signaler aux autorités ou aux responsables de site tout élément suspect (bagage abandonné, véhicule ou comportement suspect, lettre ou colis suspect)</w:t>
            </w:r>
            <w:r w:rsidR="008D1E19">
              <w:rPr>
                <w:rFonts w:ascii="Times New Roman" w:hAnsi="Times New Roman" w:cs="Times New Roman"/>
              </w:rPr>
              <w:t xml:space="preserve"> y compris aux abords de l’établissement</w:t>
            </w:r>
            <w:r w:rsidR="00B666E0">
              <w:rPr>
                <w:rFonts w:ascii="Times New Roman" w:hAnsi="Times New Roman" w:cs="Times New Roman"/>
              </w:rPr>
              <w:t xml:space="preserve"> (</w:t>
            </w:r>
            <w:proofErr w:type="spellStart"/>
            <w:r w:rsidR="00B666E0">
              <w:rPr>
                <w:rFonts w:ascii="Times New Roman" w:hAnsi="Times New Roman" w:cs="Times New Roman"/>
              </w:rPr>
              <w:t>cf</w:t>
            </w:r>
            <w:proofErr w:type="spellEnd"/>
            <w:r w:rsidR="00B666E0">
              <w:rPr>
                <w:rFonts w:ascii="Times New Roman" w:hAnsi="Times New Roman" w:cs="Times New Roman"/>
              </w:rPr>
              <w:t xml:space="preserve"> fiche réflexe jointe)</w:t>
            </w:r>
            <w:r w:rsidR="008D1E19">
              <w:rPr>
                <w:rFonts w:ascii="Times New Roman" w:hAnsi="Times New Roman" w:cs="Times New Roman"/>
              </w:rPr>
              <w:t> ;</w:t>
            </w:r>
            <w:r w:rsidR="00852698">
              <w:rPr>
                <w:rFonts w:ascii="Times New Roman" w:hAnsi="Times New Roman" w:cs="Times New Roman"/>
              </w:rPr>
              <w:t xml:space="preserve"> n</w:t>
            </w:r>
            <w:r w:rsidR="00852698" w:rsidRPr="000003C1">
              <w:rPr>
                <w:rFonts w:ascii="Times New Roman" w:hAnsi="Times New Roman" w:cs="Times New Roman"/>
              </w:rPr>
              <w:t>e pas accepter de prendre en compte un bagage ou un colis</w:t>
            </w:r>
            <w:r w:rsidR="00C03C07">
              <w:rPr>
                <w:rFonts w:ascii="Times New Roman" w:hAnsi="Times New Roman" w:cs="Times New Roman"/>
              </w:rPr>
              <w:t> ;</w:t>
            </w:r>
          </w:p>
          <w:p w:rsidR="00FD543C" w:rsidRDefault="00FD543C" w:rsidP="00FD543C">
            <w:pPr>
              <w:pStyle w:val="Textbody"/>
              <w:numPr>
                <w:ilvl w:val="0"/>
                <w:numId w:val="12"/>
              </w:numPr>
              <w:spacing w:after="0"/>
              <w:jc w:val="both"/>
              <w:rPr>
                <w:rFonts w:ascii="Times New Roman" w:hAnsi="Times New Roman" w:cs="Times New Roman"/>
              </w:rPr>
            </w:pPr>
            <w:r w:rsidRPr="000003C1">
              <w:rPr>
                <w:rFonts w:ascii="Times New Roman" w:hAnsi="Times New Roman" w:cs="Times New Roman"/>
              </w:rPr>
              <w:t>Se conformer aux consignes permanentes ou ponctuelles de sécurité</w:t>
            </w:r>
            <w:r w:rsidR="008D1E19">
              <w:rPr>
                <w:rFonts w:ascii="Times New Roman" w:hAnsi="Times New Roman" w:cs="Times New Roman"/>
              </w:rPr>
              <w:t xml:space="preserve"> émanant de l’autorité académique </w:t>
            </w:r>
            <w:r w:rsidR="00C21254">
              <w:rPr>
                <w:rFonts w:ascii="Times New Roman" w:hAnsi="Times New Roman" w:cs="Times New Roman"/>
              </w:rPr>
              <w:t xml:space="preserve">ou </w:t>
            </w:r>
            <w:r w:rsidR="008D1E19">
              <w:rPr>
                <w:rFonts w:ascii="Times New Roman" w:hAnsi="Times New Roman" w:cs="Times New Roman"/>
              </w:rPr>
              <w:t>du préfet</w:t>
            </w:r>
            <w:r w:rsidR="00C03C07">
              <w:rPr>
                <w:rFonts w:ascii="Times New Roman" w:hAnsi="Times New Roman" w:cs="Times New Roman"/>
              </w:rPr>
              <w:t>.</w:t>
            </w:r>
          </w:p>
          <w:p w:rsidR="00FD543C" w:rsidRPr="000003C1" w:rsidRDefault="00FD543C" w:rsidP="00852698">
            <w:pPr>
              <w:pStyle w:val="Textbody"/>
              <w:spacing w:after="0"/>
              <w:ind w:left="720"/>
              <w:jc w:val="both"/>
              <w:rPr>
                <w:rFonts w:hint="eastAsia"/>
              </w:rPr>
            </w:pPr>
          </w:p>
        </w:tc>
      </w:tr>
    </w:tbl>
    <w:p w:rsidR="00FA58F3" w:rsidRDefault="00FA58F3" w:rsidP="00FA58F3">
      <w:pPr>
        <w:spacing w:before="120"/>
        <w:rPr>
          <w:b/>
        </w:rPr>
      </w:pPr>
    </w:p>
    <w:p w:rsidR="009C0DE6" w:rsidRPr="00C27695" w:rsidRDefault="009C0DE6" w:rsidP="001936D0">
      <w:pPr>
        <w:pStyle w:val="Paragraphedeliste"/>
        <w:numPr>
          <w:ilvl w:val="0"/>
          <w:numId w:val="21"/>
        </w:numPr>
        <w:spacing w:before="120"/>
        <w:rPr>
          <w:b/>
          <w:u w:val="single"/>
        </w:rPr>
      </w:pPr>
      <w:r w:rsidRPr="00C27695">
        <w:rPr>
          <w:b/>
          <w:u w:val="single"/>
        </w:rPr>
        <w:t xml:space="preserve">Assurer la </w:t>
      </w:r>
      <w:proofErr w:type="spellStart"/>
      <w:r w:rsidRPr="00C27695">
        <w:rPr>
          <w:b/>
          <w:u w:val="single"/>
        </w:rPr>
        <w:t>cybersécurité</w:t>
      </w:r>
      <w:proofErr w:type="spellEnd"/>
    </w:p>
    <w:p w:rsidR="00F40490" w:rsidRDefault="00F40490" w:rsidP="00F40490">
      <w:pPr>
        <w:spacing w:before="120"/>
        <w:rPr>
          <w:b/>
        </w:rPr>
      </w:pPr>
    </w:p>
    <w:p w:rsidR="00F40490" w:rsidRPr="00C30228" w:rsidRDefault="00F40490" w:rsidP="00F40490">
      <w:pPr>
        <w:pStyle w:val="Corpsdetexte"/>
      </w:pPr>
      <w:r>
        <w:t>L</w:t>
      </w:r>
      <w:r w:rsidRPr="00C30228">
        <w:t xml:space="preserve">es systèmes informatiques </w:t>
      </w:r>
      <w:r>
        <w:t>font l’objet d’intrusions et d’attaques de toute nature</w:t>
      </w:r>
      <w:r w:rsidR="00082C69">
        <w:t xml:space="preserve"> et doivent être soumis à des rè</w:t>
      </w:r>
      <w:r>
        <w:t xml:space="preserve">gles permanentes de sécurité. Celles-ci s’appliquent a fortiori  aux attaques malveillantes qui peuvent non seulement affecter la confidentialité </w:t>
      </w:r>
      <w:r w:rsidR="001D244B">
        <w:t xml:space="preserve">et l’intégrité </w:t>
      </w:r>
      <w:r>
        <w:t xml:space="preserve">des données personnelles, sensibles </w:t>
      </w:r>
      <w:r w:rsidR="00650924">
        <w:t>pour les deux ministères</w:t>
      </w:r>
      <w:r>
        <w:t xml:space="preserve">, mais encore </w:t>
      </w:r>
      <w:r w:rsidR="00B6160C">
        <w:t xml:space="preserve">la disponibilité des systèmes d’information dont dépendent des </w:t>
      </w:r>
      <w:r>
        <w:t xml:space="preserve">services essentiels. </w:t>
      </w:r>
    </w:p>
    <w:p w:rsidR="00DC2E46" w:rsidRDefault="00082C69">
      <w:pPr>
        <w:spacing w:before="120"/>
        <w:jc w:val="both"/>
        <w:rPr>
          <w:b/>
        </w:rPr>
      </w:pPr>
      <w:r>
        <w:rPr>
          <w:color w:val="00000A"/>
          <w:lang w:eastAsia="zh-CN"/>
        </w:rPr>
        <w:t xml:space="preserve">C’est pourquoi </w:t>
      </w:r>
      <w:r w:rsidR="00F40490" w:rsidRPr="000003C1">
        <w:rPr>
          <w:color w:val="00000A"/>
          <w:lang w:eastAsia="zh-CN"/>
        </w:rPr>
        <w:t xml:space="preserve">un dispositif de </w:t>
      </w:r>
      <w:proofErr w:type="spellStart"/>
      <w:r w:rsidR="00F40490" w:rsidRPr="000003C1">
        <w:rPr>
          <w:color w:val="00000A"/>
          <w:lang w:eastAsia="zh-CN"/>
        </w:rPr>
        <w:t>cybersécurité</w:t>
      </w:r>
      <w:proofErr w:type="spellEnd"/>
      <w:r w:rsidR="00F40490" w:rsidRPr="000003C1">
        <w:rPr>
          <w:color w:val="00000A"/>
          <w:lang w:eastAsia="zh-CN"/>
        </w:rPr>
        <w:t xml:space="preserve"> spécifique au plan </w:t>
      </w:r>
      <w:r w:rsidR="00F40490" w:rsidRPr="000003C1">
        <w:rPr>
          <w:smallCaps/>
          <w:color w:val="00000A"/>
          <w:lang w:eastAsia="zh-CN"/>
        </w:rPr>
        <w:t>Vigipirate</w:t>
      </w:r>
      <w:r w:rsidR="00F40490" w:rsidRPr="000003C1">
        <w:rPr>
          <w:color w:val="00000A"/>
          <w:lang w:eastAsia="zh-CN"/>
        </w:rPr>
        <w:t xml:space="preserve"> est </w:t>
      </w:r>
      <w:r w:rsidR="00F40490">
        <w:rPr>
          <w:color w:val="00000A"/>
          <w:lang w:eastAsia="zh-CN"/>
        </w:rPr>
        <w:t>prévu</w:t>
      </w:r>
      <w:r w:rsidR="00F40490" w:rsidRPr="000003C1">
        <w:rPr>
          <w:color w:val="00000A"/>
          <w:lang w:eastAsia="zh-CN"/>
        </w:rPr>
        <w:t xml:space="preserve">. Il concerne </w:t>
      </w:r>
      <w:r w:rsidR="00C30DEA">
        <w:rPr>
          <w:color w:val="00000A"/>
          <w:lang w:eastAsia="zh-CN"/>
        </w:rPr>
        <w:t xml:space="preserve">les acteurs nationaux comme </w:t>
      </w:r>
      <w:r w:rsidR="00F40490">
        <w:rPr>
          <w:color w:val="00000A"/>
          <w:lang w:eastAsia="zh-CN"/>
        </w:rPr>
        <w:t>l</w:t>
      </w:r>
      <w:r w:rsidR="00F40490" w:rsidRPr="000003C1">
        <w:rPr>
          <w:color w:val="00000A"/>
          <w:lang w:eastAsia="zh-CN"/>
        </w:rPr>
        <w:t>’agence nationale de la sécurité des systèmes d’information (ANSSI)</w:t>
      </w:r>
      <w:r w:rsidR="008C1E97">
        <w:rPr>
          <w:color w:val="00000A"/>
          <w:lang w:eastAsia="zh-CN"/>
        </w:rPr>
        <w:t>,</w:t>
      </w:r>
      <w:r w:rsidR="00C30DEA">
        <w:rPr>
          <w:color w:val="00000A"/>
          <w:lang w:eastAsia="zh-CN"/>
        </w:rPr>
        <w:t xml:space="preserve"> mais aussi </w:t>
      </w:r>
      <w:r w:rsidR="00F40490">
        <w:rPr>
          <w:color w:val="00000A"/>
          <w:lang w:eastAsia="zh-CN"/>
        </w:rPr>
        <w:t xml:space="preserve"> les opérateurs et les </w:t>
      </w:r>
      <w:r w:rsidR="00F40490" w:rsidRPr="000003C1">
        <w:rPr>
          <w:color w:val="00000A"/>
          <w:lang w:eastAsia="zh-CN"/>
        </w:rPr>
        <w:t>administrations dans leur ensemble en tant que responsable</w:t>
      </w:r>
      <w:r w:rsidR="00B6160C">
        <w:rPr>
          <w:color w:val="00000A"/>
          <w:lang w:eastAsia="zh-CN"/>
        </w:rPr>
        <w:t>s</w:t>
      </w:r>
      <w:r w:rsidR="00F40490" w:rsidRPr="000003C1">
        <w:rPr>
          <w:color w:val="00000A"/>
          <w:lang w:eastAsia="zh-CN"/>
        </w:rPr>
        <w:t xml:space="preserve"> de systèmes d’information de l’État</w:t>
      </w:r>
      <w:r w:rsidR="00C30DEA">
        <w:rPr>
          <w:color w:val="00000A"/>
          <w:lang w:eastAsia="zh-CN"/>
        </w:rPr>
        <w:t xml:space="preserve"> (il est rappelé que les recteurs sont « autorités qualifiées », ou personnes responsables de la sécurité des systèmes d’information au niveau des rectorats). Il concerne aussi </w:t>
      </w:r>
      <w:r w:rsidR="00F40490">
        <w:rPr>
          <w:color w:val="00000A"/>
          <w:lang w:eastAsia="zh-CN"/>
        </w:rPr>
        <w:t>l</w:t>
      </w:r>
      <w:r w:rsidR="00F40490" w:rsidRPr="000003C1">
        <w:rPr>
          <w:color w:val="00000A"/>
          <w:lang w:eastAsia="zh-CN"/>
        </w:rPr>
        <w:t>es collectivités territoriales</w:t>
      </w:r>
      <w:r w:rsidR="00B6160C">
        <w:rPr>
          <w:color w:val="00000A"/>
          <w:lang w:eastAsia="zh-CN"/>
        </w:rPr>
        <w:t>,</w:t>
      </w:r>
      <w:r w:rsidR="00F40490">
        <w:rPr>
          <w:color w:val="00000A"/>
          <w:lang w:eastAsia="zh-CN"/>
        </w:rPr>
        <w:t xml:space="preserve"> l</w:t>
      </w:r>
      <w:r w:rsidR="00F40490" w:rsidRPr="000003C1">
        <w:rPr>
          <w:color w:val="00000A"/>
          <w:lang w:eastAsia="zh-CN"/>
        </w:rPr>
        <w:t>es citoyens qui, chaque jour, dans leur vie professionnelle ou privée, ont un rapport avec les systèmes informatiques</w:t>
      </w:r>
      <w:r w:rsidR="00F40490">
        <w:rPr>
          <w:color w:val="00000A"/>
          <w:lang w:eastAsia="zh-CN"/>
        </w:rPr>
        <w:t xml:space="preserve">. </w:t>
      </w:r>
    </w:p>
    <w:p w:rsidR="009C0DE6" w:rsidRPr="000003C1" w:rsidRDefault="009C0DE6" w:rsidP="009C0DE6">
      <w:pPr>
        <w:pStyle w:val="Standard"/>
        <w:jc w:val="cente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547B7F" w:rsidRPr="000003C1" w:rsidTr="00547B7F">
        <w:tc>
          <w:tcPr>
            <w:tcW w:w="9606" w:type="dxa"/>
          </w:tcPr>
          <w:p w:rsidR="004800C8" w:rsidRDefault="004800C8" w:rsidP="00B6160C">
            <w:pPr>
              <w:autoSpaceDE w:val="0"/>
              <w:autoSpaceDN w:val="0"/>
              <w:adjustRightInd w:val="0"/>
              <w:rPr>
                <w:b/>
              </w:rPr>
            </w:pPr>
          </w:p>
          <w:p w:rsidR="00B6160C" w:rsidRDefault="00F40490" w:rsidP="00B6160C">
            <w:pPr>
              <w:autoSpaceDE w:val="0"/>
              <w:autoSpaceDN w:val="0"/>
              <w:adjustRightInd w:val="0"/>
              <w:rPr>
                <w:b/>
              </w:rPr>
            </w:pPr>
            <w:r w:rsidRPr="00F40490">
              <w:rPr>
                <w:b/>
              </w:rPr>
              <w:t>Objectifs</w:t>
            </w:r>
            <w:r>
              <w:rPr>
                <w:b/>
              </w:rPr>
              <w:t xml:space="preserve"> : </w:t>
            </w:r>
          </w:p>
          <w:p w:rsidR="00082C69" w:rsidRDefault="00082C69" w:rsidP="00B6160C">
            <w:pPr>
              <w:autoSpaceDE w:val="0"/>
              <w:autoSpaceDN w:val="0"/>
              <w:adjustRightInd w:val="0"/>
            </w:pPr>
          </w:p>
          <w:p w:rsidR="00B6160C" w:rsidRDefault="00B6160C" w:rsidP="00B6160C">
            <w:pPr>
              <w:autoSpaceDE w:val="0"/>
              <w:autoSpaceDN w:val="0"/>
              <w:adjustRightInd w:val="0"/>
              <w:rPr>
                <w:b/>
              </w:rPr>
            </w:pPr>
            <w:r w:rsidRPr="00B6160C">
              <w:t>R</w:t>
            </w:r>
            <w:r>
              <w:rPr>
                <w:rFonts w:eastAsiaTheme="minorHAnsi"/>
                <w:lang w:eastAsia="en-US"/>
              </w:rPr>
              <w:t>enforcer la vigilance et la protection sur les systèmes d’information critiques ou essentiels contre des menaces identifiées afin d’assurer un niveau de disponibilité suffisant des systèmes d’information</w:t>
            </w:r>
            <w:r w:rsidR="0009028A">
              <w:rPr>
                <w:rFonts w:eastAsiaTheme="minorHAnsi"/>
                <w:lang w:eastAsia="en-US"/>
              </w:rPr>
              <w:t> ; maîtriser les risques, gérer les incidents, évaluer le niveau de sécurité.</w:t>
            </w:r>
          </w:p>
          <w:p w:rsidR="00547B7F" w:rsidRDefault="00547B7F" w:rsidP="008D1E19">
            <w:pPr>
              <w:pStyle w:val="Corpsdetexte"/>
              <w:rPr>
                <w:b/>
              </w:rPr>
            </w:pPr>
          </w:p>
          <w:p w:rsidR="00E83951" w:rsidRDefault="00E83951" w:rsidP="008D1E19">
            <w:pPr>
              <w:pStyle w:val="Corpsdetexte"/>
              <w:rPr>
                <w:b/>
              </w:rPr>
            </w:pPr>
            <w:proofErr w:type="gramStart"/>
            <w:r>
              <w:rPr>
                <w:b/>
              </w:rPr>
              <w:t>Mesures</w:t>
            </w:r>
            <w:proofErr w:type="gramEnd"/>
            <w:r>
              <w:rPr>
                <w:b/>
              </w:rPr>
              <w:t> :</w:t>
            </w:r>
          </w:p>
          <w:p w:rsidR="00E83951" w:rsidRPr="00E83951" w:rsidRDefault="00E83951" w:rsidP="00E83951">
            <w:pPr>
              <w:pStyle w:val="Paragraphedeliste"/>
              <w:numPr>
                <w:ilvl w:val="2"/>
                <w:numId w:val="5"/>
              </w:numPr>
              <w:autoSpaceDE w:val="0"/>
              <w:autoSpaceDN w:val="0"/>
              <w:adjustRightInd w:val="0"/>
              <w:rPr>
                <w:rFonts w:eastAsiaTheme="minorHAnsi"/>
                <w:lang w:eastAsia="en-US"/>
              </w:rPr>
            </w:pPr>
            <w:r w:rsidRPr="00E83951">
              <w:rPr>
                <w:rFonts w:eastAsiaTheme="minorHAnsi"/>
                <w:lang w:eastAsia="en-US"/>
              </w:rPr>
              <w:t>Renforcer la protection contre les intrusions dans les systèmes d'information.</w:t>
            </w:r>
          </w:p>
          <w:p w:rsidR="00E83951" w:rsidRDefault="00E83951" w:rsidP="00E83951">
            <w:pPr>
              <w:autoSpaceDE w:val="0"/>
              <w:autoSpaceDN w:val="0"/>
              <w:adjustRightInd w:val="0"/>
              <w:rPr>
                <w:rFonts w:eastAsiaTheme="minorHAnsi"/>
                <w:lang w:eastAsia="en-US"/>
              </w:rPr>
            </w:pPr>
            <w:r>
              <w:rPr>
                <w:rFonts w:eastAsiaTheme="minorHAnsi"/>
                <w:lang w:eastAsia="en-US"/>
              </w:rPr>
              <w:t xml:space="preserve">Cette mesure permet de détecter les signes préliminaires à des opérations de sabotage et d’être en mesure d’identifier et de traiter sans délai les intrusions ou tentatives d’intrusion dans les systèmes   </w:t>
            </w:r>
            <w:r w:rsidR="00DE41C4">
              <w:rPr>
                <w:rFonts w:eastAsiaTheme="minorHAnsi"/>
                <w:lang w:eastAsia="en-US"/>
              </w:rPr>
              <w:t xml:space="preserve">et d’en rendre compte </w:t>
            </w:r>
            <w:r>
              <w:rPr>
                <w:rFonts w:eastAsiaTheme="minorHAnsi"/>
                <w:lang w:eastAsia="en-US"/>
              </w:rPr>
              <w:t>(CYB 42.01 ; 43.01)</w:t>
            </w:r>
          </w:p>
          <w:p w:rsidR="00E83951" w:rsidRPr="00E83951" w:rsidRDefault="00E83951" w:rsidP="00E83951">
            <w:pPr>
              <w:pStyle w:val="Paragraphedeliste"/>
              <w:numPr>
                <w:ilvl w:val="2"/>
                <w:numId w:val="5"/>
              </w:numPr>
              <w:autoSpaceDE w:val="0"/>
              <w:autoSpaceDN w:val="0"/>
              <w:adjustRightInd w:val="0"/>
              <w:rPr>
                <w:rFonts w:eastAsiaTheme="minorHAnsi"/>
                <w:lang w:eastAsia="en-US"/>
              </w:rPr>
            </w:pPr>
            <w:r w:rsidRPr="00E83951">
              <w:rPr>
                <w:rFonts w:eastAsiaTheme="minorHAnsi"/>
                <w:lang w:eastAsia="en-US"/>
              </w:rPr>
              <w:t>Renforcer la protection contre les attaques en déni de service.</w:t>
            </w:r>
          </w:p>
          <w:p w:rsidR="00C30DEA" w:rsidRDefault="00E83951" w:rsidP="00C30DEA">
            <w:pPr>
              <w:pStyle w:val="Corpsdetexte"/>
              <w:rPr>
                <w:rFonts w:eastAsiaTheme="minorHAnsi"/>
                <w:lang w:eastAsia="en-US"/>
              </w:rPr>
            </w:pPr>
            <w:r>
              <w:rPr>
                <w:rFonts w:eastAsiaTheme="minorHAnsi"/>
                <w:lang w:eastAsia="en-US"/>
              </w:rPr>
              <w:t>Cette mesure permet de s’opposer à des opérations de sabotage non destructrices (CYB 42.02 ; 43.02)</w:t>
            </w:r>
          </w:p>
          <w:p w:rsidR="00E83951" w:rsidRPr="00C30DEA" w:rsidRDefault="00E83951" w:rsidP="008D1E19">
            <w:pPr>
              <w:pStyle w:val="Corpsdetexte"/>
              <w:numPr>
                <w:ilvl w:val="2"/>
                <w:numId w:val="5"/>
              </w:numPr>
              <w:rPr>
                <w:b/>
              </w:rPr>
            </w:pPr>
            <w:r w:rsidRPr="00C30DEA">
              <w:rPr>
                <w:rFonts w:eastAsiaTheme="minorHAnsi"/>
                <w:lang w:eastAsia="en-US"/>
              </w:rPr>
              <w:t>Renforcer la protection contre une menace sectorielle.</w:t>
            </w:r>
            <w:r w:rsidR="00C30DEA" w:rsidRPr="00C30DEA">
              <w:rPr>
                <w:rFonts w:eastAsiaTheme="minorHAnsi"/>
                <w:lang w:eastAsia="en-US"/>
              </w:rPr>
              <w:t xml:space="preserve"> </w:t>
            </w:r>
            <w:r w:rsidRPr="00C30DEA">
              <w:rPr>
                <w:rFonts w:eastAsiaTheme="minorHAnsi"/>
                <w:lang w:eastAsia="en-US"/>
              </w:rPr>
              <w:t xml:space="preserve">Cette mesure permet </w:t>
            </w:r>
            <w:r w:rsidR="00C30DEA">
              <w:rPr>
                <w:rFonts w:eastAsiaTheme="minorHAnsi"/>
                <w:lang w:eastAsia="en-US"/>
              </w:rPr>
              <w:t xml:space="preserve">notamment </w:t>
            </w:r>
            <w:r w:rsidRPr="00C30DEA">
              <w:rPr>
                <w:rFonts w:eastAsiaTheme="minorHAnsi"/>
                <w:lang w:eastAsia="en-US"/>
              </w:rPr>
              <w:t>de s'opposer à des opérations de sabotage destructrices (CYB 42.03 ; 43.03)</w:t>
            </w:r>
          </w:p>
          <w:p w:rsidR="00E83951" w:rsidRDefault="00C30DEA" w:rsidP="00DE41C4">
            <w:pPr>
              <w:autoSpaceDE w:val="0"/>
              <w:autoSpaceDN w:val="0"/>
              <w:adjustRightInd w:val="0"/>
            </w:pPr>
            <w:r>
              <w:t xml:space="preserve">Les recteurs </w:t>
            </w:r>
            <w:r w:rsidR="00650924">
              <w:t xml:space="preserve"> de même que les présidents ou directeurs des établiss</w:t>
            </w:r>
            <w:r w:rsidR="00D43766">
              <w:t>e</w:t>
            </w:r>
            <w:r w:rsidR="00243DD3">
              <w:t xml:space="preserve">ments </w:t>
            </w:r>
            <w:bookmarkStart w:id="0" w:name="_GoBack"/>
            <w:bookmarkEnd w:id="0"/>
            <w:r w:rsidR="00650924">
              <w:t xml:space="preserve">d’enseignement supérieur et de recherche </w:t>
            </w:r>
            <w:r>
              <w:t xml:space="preserve">seront destinataires, par leurs </w:t>
            </w:r>
            <w:r w:rsidR="00E83951" w:rsidRPr="00E83951">
              <w:t>RSSI</w:t>
            </w:r>
            <w:r>
              <w:t xml:space="preserve">, </w:t>
            </w:r>
            <w:r w:rsidR="00E83951" w:rsidRPr="00E83951">
              <w:t xml:space="preserve">des actions détaillées </w:t>
            </w:r>
            <w:r>
              <w:t>permettant d’atteindre les objectifs de SSI</w:t>
            </w:r>
            <w:r w:rsidR="00E83951">
              <w:t xml:space="preserve">. </w:t>
            </w:r>
            <w:r w:rsidR="00DE41C4">
              <w:t>La plupart procède du référentiel général de sécurité des systèmes d’information et de la politique interministérielle de sécurité qui sera à mettre progressivement en œuvre</w:t>
            </w:r>
            <w:r w:rsidR="002565E6">
              <w:t xml:space="preserve"> pour é</w:t>
            </w:r>
            <w:r w:rsidR="00DE41C4">
              <w:t xml:space="preserve">lever le niveau général de sécurité.  </w:t>
            </w:r>
          </w:p>
          <w:p w:rsidR="00DE41C4" w:rsidRDefault="00DE41C4" w:rsidP="00DE41C4">
            <w:pPr>
              <w:autoSpaceDE w:val="0"/>
              <w:autoSpaceDN w:val="0"/>
              <w:adjustRightInd w:val="0"/>
            </w:pPr>
          </w:p>
          <w:p w:rsidR="00DE41C4" w:rsidRPr="00DE41C4" w:rsidRDefault="00DE41C4" w:rsidP="00DE41C4">
            <w:pPr>
              <w:pStyle w:val="Standard"/>
              <w:spacing w:after="120"/>
              <w:jc w:val="both"/>
              <w:rPr>
                <w:rFonts w:ascii="Times New Roman" w:hAnsi="Times New Roman" w:cs="Times New Roman"/>
              </w:rPr>
            </w:pPr>
            <w:r w:rsidRPr="00DE41C4">
              <w:rPr>
                <w:rFonts w:ascii="Times New Roman" w:hAnsi="Times New Roman" w:cs="Times New Roman"/>
              </w:rPr>
              <w:t>Enfin il convient d’appliquer en permanence les dix règles d’hygiène informatique suivantes.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1. Choisir des mots de passe robustes.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2. Mettre à jour vos systèmes d’exploitation et vos logiciels.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3. Utiliser les droits d’administrateur avec modération.</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4. Effectuer des sauvegardes régulières.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 xml:space="preserve">5. Sécuriser votre point d’accès </w:t>
            </w:r>
            <w:proofErr w:type="spellStart"/>
            <w:r w:rsidRPr="00DE41C4">
              <w:rPr>
                <w:rFonts w:ascii="Times New Roman" w:hAnsi="Times New Roman" w:cs="Times New Roman"/>
              </w:rPr>
              <w:t>Wi-Fi</w:t>
            </w:r>
            <w:proofErr w:type="spellEnd"/>
            <w:r w:rsidRPr="00DE41C4">
              <w:rPr>
                <w:rFonts w:ascii="Times New Roman" w:hAnsi="Times New Roman" w:cs="Times New Roman"/>
              </w:rPr>
              <w:t>.</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6. Etre prudent lors de l’ouverture d’un courriel.</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7. Télécharger les programmes sur les sites de leurs éditeurs.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8. Etre vigilant avant d’effectuer un paiement sur internet.</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lastRenderedPageBreak/>
              <w:t>9. Séparer les usages personnels des usages professionnels.</w:t>
            </w:r>
          </w:p>
          <w:p w:rsidR="00DE41C4" w:rsidRPr="00DE41C4" w:rsidRDefault="00DE41C4" w:rsidP="00DE41C4">
            <w:pPr>
              <w:pStyle w:val="Standard"/>
              <w:numPr>
                <w:ilvl w:val="1"/>
                <w:numId w:val="14"/>
              </w:numPr>
              <w:ind w:left="885" w:hanging="567"/>
              <w:jc w:val="both"/>
              <w:rPr>
                <w:rFonts w:ascii="Times New Roman" w:hAnsi="Times New Roman" w:cs="Times New Roman"/>
              </w:rPr>
            </w:pPr>
            <w:r w:rsidRPr="00DE41C4">
              <w:rPr>
                <w:rFonts w:ascii="Times New Roman" w:hAnsi="Times New Roman" w:cs="Times New Roman"/>
              </w:rPr>
              <w:t>10. Prendre soin de ses informations personnelles et de son identité numérique.</w:t>
            </w:r>
          </w:p>
          <w:p w:rsidR="00C87EFE" w:rsidRDefault="00DE41C4" w:rsidP="00C87EFE">
            <w:pPr>
              <w:autoSpaceDE w:val="0"/>
              <w:autoSpaceDN w:val="0"/>
              <w:adjustRightInd w:val="0"/>
              <w:rPr>
                <w:b/>
              </w:rPr>
            </w:pPr>
            <w:r w:rsidRPr="00DE41C4">
              <w:t xml:space="preserve">Toutes les recommandations essentielles à destination des citoyens </w:t>
            </w:r>
            <w:r w:rsidRPr="00DE41C4">
              <w:rPr>
                <w:color w:val="00000A"/>
              </w:rPr>
              <w:t xml:space="preserve">sont disponibles sur le portail de la sécurité informatique : </w:t>
            </w:r>
            <w:hyperlink r:id="rId7">
              <w:r w:rsidRPr="00DE41C4">
                <w:rPr>
                  <w:rStyle w:val="LienInternet"/>
                </w:rPr>
                <w:t>www.securite-informatique.gouv.fr</w:t>
              </w:r>
            </w:hyperlink>
          </w:p>
        </w:tc>
      </w:tr>
    </w:tbl>
    <w:p w:rsidR="009C0DE6" w:rsidRDefault="009C0DE6" w:rsidP="009C0DE6">
      <w:pPr>
        <w:pStyle w:val="Standard"/>
        <w:jc w:val="both"/>
        <w:rPr>
          <w:rFonts w:ascii="Times New Roman" w:eastAsia="Times New Roman" w:hAnsi="Times New Roman" w:cs="Times New Roman"/>
          <w:color w:val="000000"/>
          <w:u w:val="single"/>
        </w:rPr>
      </w:pPr>
    </w:p>
    <w:p w:rsidR="001936D0" w:rsidRPr="00C27695" w:rsidRDefault="001936D0" w:rsidP="001936D0">
      <w:pPr>
        <w:pStyle w:val="Paragraphedeliste"/>
        <w:numPr>
          <w:ilvl w:val="0"/>
          <w:numId w:val="21"/>
        </w:numPr>
        <w:spacing w:before="120"/>
        <w:rPr>
          <w:b/>
          <w:u w:val="single"/>
        </w:rPr>
      </w:pPr>
      <w:r w:rsidRPr="00C27695">
        <w:rPr>
          <w:b/>
          <w:u w:val="single"/>
        </w:rPr>
        <w:t xml:space="preserve">Protéger les rassemblements de masse </w:t>
      </w:r>
    </w:p>
    <w:p w:rsidR="00082C69" w:rsidRDefault="00082C69" w:rsidP="00082C69">
      <w:pPr>
        <w:spacing w:after="120"/>
        <w:jc w:val="both"/>
        <w:rPr>
          <w:color w:val="000000"/>
        </w:rPr>
      </w:pPr>
    </w:p>
    <w:p w:rsidR="00082C69" w:rsidRDefault="001936D0" w:rsidP="00082C69">
      <w:pPr>
        <w:spacing w:after="120"/>
        <w:ind w:firstLine="567"/>
        <w:jc w:val="both"/>
        <w:rPr>
          <w:color w:val="000000"/>
        </w:rPr>
      </w:pPr>
      <w:r w:rsidRPr="00082C69">
        <w:rPr>
          <w:color w:val="000000"/>
        </w:rPr>
        <w:t>La protection des rassemblements</w:t>
      </w:r>
      <w:r w:rsidR="00942636">
        <w:rPr>
          <w:color w:val="000000"/>
        </w:rPr>
        <w:t xml:space="preserve">, qu’il s’agisse de réunions ou </w:t>
      </w:r>
      <w:r w:rsidR="00942636">
        <w:t xml:space="preserve">manifestations publiques à caractère éducatif, récréatif, sportif ou culturel, </w:t>
      </w:r>
      <w:r w:rsidRPr="00082C69">
        <w:rPr>
          <w:color w:val="000000"/>
        </w:rPr>
        <w:t xml:space="preserve"> concerne plusieurs types d’acteurs : les organisateurs, l’autorité administrative (maires, préfets), les forces de l’ordre (police, gendarmerie, forces mobiles, polices municipales). Les organisateurs sont responsables de la sécurité générale du rassemblement</w:t>
      </w:r>
      <w:r w:rsidR="00082C69">
        <w:rPr>
          <w:color w:val="000000"/>
        </w:rPr>
        <w:t>.</w:t>
      </w:r>
    </w:p>
    <w:p w:rsidR="00082C69" w:rsidRDefault="00082C69" w:rsidP="00082C69">
      <w:pPr>
        <w:spacing w:after="120"/>
        <w:ind w:firstLine="567"/>
        <w:jc w:val="both"/>
      </w:pPr>
      <w:r>
        <w:rPr>
          <w:color w:val="000000"/>
        </w:rPr>
        <w:t>I</w:t>
      </w:r>
      <w:r w:rsidRPr="00082C69">
        <w:rPr>
          <w:color w:val="000000"/>
        </w:rPr>
        <w:t xml:space="preserve">l conviendra </w:t>
      </w:r>
      <w:r w:rsidR="00C30DEA">
        <w:rPr>
          <w:color w:val="000000"/>
        </w:rPr>
        <w:t xml:space="preserve">pour eux </w:t>
      </w:r>
      <w:r w:rsidRPr="00082C69">
        <w:rPr>
          <w:color w:val="000000"/>
        </w:rPr>
        <w:t>de se conformer aux exigences de l</w:t>
      </w:r>
      <w:r w:rsidRPr="000003C1">
        <w:t xml:space="preserve">’autorité administrative </w:t>
      </w:r>
      <w:r>
        <w:t>responsable de l’ordre public (maire ou préfet en fonction de l’importance du rassemblement) qui peut imposer des mesures particulières afin de renforcer le dispositif de surveillance et de contrôle (mesure RSB</w:t>
      </w:r>
      <w:r w:rsidR="00DD227D">
        <w:t xml:space="preserve"> </w:t>
      </w:r>
      <w:r>
        <w:t>10.01</w:t>
      </w:r>
      <w:r w:rsidR="008410BE">
        <w:t xml:space="preserve">, </w:t>
      </w:r>
      <w:r>
        <w:t xml:space="preserve">11.01, 12.02, 13.02). </w:t>
      </w:r>
    </w:p>
    <w:p w:rsidR="009219DB" w:rsidRDefault="00942636" w:rsidP="009219DB">
      <w:pPr>
        <w:ind w:firstLine="567"/>
        <w:jc w:val="both"/>
      </w:pPr>
      <w:r>
        <w:t xml:space="preserve">Au-delà des rassemblements de masse, il convient </w:t>
      </w:r>
      <w:r w:rsidR="009219DB">
        <w:t xml:space="preserve">de veiller, </w:t>
      </w:r>
      <w:r>
        <w:t>en ce qui concerne les établissements scolaires</w:t>
      </w:r>
      <w:r w:rsidR="009219DB">
        <w:t xml:space="preserve">, à ce que les mesures réglementant le stationnement </w:t>
      </w:r>
      <w:r>
        <w:t xml:space="preserve"> </w:t>
      </w:r>
      <w:r w:rsidR="009219DB">
        <w:t xml:space="preserve">à proximité de leurs accès </w:t>
      </w:r>
      <w:r w:rsidR="00F2212F">
        <w:t xml:space="preserve">où généralement se regroupent des élèves </w:t>
      </w:r>
      <w:r w:rsidR="009219DB">
        <w:t xml:space="preserve">soient bien appliquées, </w:t>
      </w:r>
      <w:r w:rsidR="009219DB">
        <w:t>en liaison avec les services de police et les municipalités</w:t>
      </w:r>
      <w:r w:rsidR="009219DB">
        <w:t>.</w:t>
      </w:r>
    </w:p>
    <w:p w:rsidR="009219DB" w:rsidRDefault="009219DB" w:rsidP="009219DB">
      <w:pPr>
        <w:ind w:firstLine="567"/>
        <w:jc w:val="both"/>
      </w:pPr>
    </w:p>
    <w:p w:rsidR="009219DB" w:rsidRPr="00082C69" w:rsidRDefault="009219DB" w:rsidP="009219DB">
      <w:pPr>
        <w:ind w:firstLine="567"/>
        <w:jc w:val="both"/>
        <w:rPr>
          <w:color w:val="000000"/>
        </w:rPr>
      </w:pPr>
      <w:r>
        <w:t xml:space="preserve">Enfin, </w:t>
      </w:r>
      <w:r>
        <w:t>concernant les transports scolaires,</w:t>
      </w:r>
      <w:r>
        <w:t xml:space="preserve"> il convient de s’assurer en liaison </w:t>
      </w:r>
      <w:r w:rsidR="00942636">
        <w:t xml:space="preserve">avec les collectivités compétentes </w:t>
      </w:r>
      <w:r>
        <w:t xml:space="preserve">vis-à-vis des transporteurs </w:t>
      </w:r>
      <w:r>
        <w:t>que les mesures de sécurité son effectives</w:t>
      </w:r>
      <w:r>
        <w:t xml:space="preserve">. </w:t>
      </w:r>
      <w:r w:rsidR="00942636">
        <w:t xml:space="preserve">Les voyages scolaires organisés entrent dans ce cadre général de la sécurisation des transports publics et des lieux de visite ou de rassemblement. </w:t>
      </w:r>
      <w:r>
        <w:t xml:space="preserve">En ce qui concerne les voyages à l’étranger, il convient </w:t>
      </w:r>
      <w:r>
        <w:t>d’observer les mesures du domaine « EXT » relatif à la protection des ressortissants français à l’étranger.</w:t>
      </w:r>
    </w:p>
    <w:p w:rsidR="00942636" w:rsidRPr="00082C69" w:rsidRDefault="00942636" w:rsidP="009219DB">
      <w:pPr>
        <w:ind w:firstLine="567"/>
        <w:jc w:val="both"/>
        <w:rPr>
          <w:color w:val="000000"/>
        </w:rPr>
      </w:pPr>
    </w:p>
    <w:p w:rsidR="001936D0" w:rsidRDefault="001936D0" w:rsidP="001936D0">
      <w:pPr>
        <w:spacing w:before="120"/>
        <w:ind w:left="567"/>
        <w:rPr>
          <w:color w:val="000000"/>
        </w:rPr>
      </w:pPr>
      <w:r>
        <w:rPr>
          <w:color w:val="000000"/>
        </w:rPr>
        <w:t>.</w:t>
      </w:r>
    </w:p>
    <w:p w:rsidR="00E52051" w:rsidRPr="00C27695" w:rsidRDefault="00D25855" w:rsidP="001936D0">
      <w:pPr>
        <w:pStyle w:val="Paragraphedeliste"/>
        <w:numPr>
          <w:ilvl w:val="0"/>
          <w:numId w:val="21"/>
        </w:numPr>
        <w:spacing w:before="120"/>
        <w:jc w:val="both"/>
        <w:rPr>
          <w:b/>
          <w:u w:val="single"/>
        </w:rPr>
      </w:pPr>
      <w:r w:rsidRPr="00C27695">
        <w:rPr>
          <w:b/>
          <w:u w:val="single"/>
        </w:rPr>
        <w:t>la protection des ressortissants français à l’étranger</w:t>
      </w:r>
      <w:r w:rsidR="00E52051" w:rsidRPr="00C27695">
        <w:rPr>
          <w:b/>
          <w:u w:val="single"/>
        </w:rPr>
        <w:t xml:space="preserve"> </w:t>
      </w:r>
    </w:p>
    <w:p w:rsidR="00C30DEA" w:rsidRDefault="00C30DEA" w:rsidP="00082C69">
      <w:pPr>
        <w:spacing w:before="120"/>
        <w:ind w:firstLine="708"/>
        <w:jc w:val="both"/>
      </w:pPr>
    </w:p>
    <w:p w:rsidR="0009028A" w:rsidRDefault="00D25855" w:rsidP="00082C69">
      <w:pPr>
        <w:spacing w:before="120"/>
        <w:ind w:firstLine="708"/>
        <w:jc w:val="both"/>
      </w:pPr>
      <w:r w:rsidRPr="00D25855">
        <w:t>Cela concerne les voyages scolaires</w:t>
      </w:r>
      <w:r w:rsidR="00F22E6C">
        <w:t xml:space="preserve">, les déplacements des étudiants et des enseignants chercheurs </w:t>
      </w:r>
      <w:r w:rsidRPr="00D25855">
        <w:t xml:space="preserve"> ou</w:t>
      </w:r>
      <w:r w:rsidR="00F22E6C">
        <w:t xml:space="preserve"> des</w:t>
      </w:r>
      <w:r w:rsidRPr="00D25855">
        <w:t xml:space="preserve"> missions pour le</w:t>
      </w:r>
      <w:r w:rsidR="00C30DEA">
        <w:t>s</w:t>
      </w:r>
      <w:r w:rsidRPr="00D25855">
        <w:t>quels il convient de suivre les recommandations du ministère des affaires étrangères</w:t>
      </w:r>
      <w:r w:rsidR="00C30DEA">
        <w:t xml:space="preserve"> telles qu’elles sont consultables en permanence sur le site</w:t>
      </w:r>
      <w:r w:rsidRPr="00D25855">
        <w:t xml:space="preserve"> </w:t>
      </w:r>
      <w:r w:rsidR="00082C69">
        <w:t xml:space="preserve">    </w:t>
      </w:r>
      <w:hyperlink r:id="rId8" w:history="1">
        <w:r w:rsidR="00082C69" w:rsidRPr="00BC2C49">
          <w:rPr>
            <w:rStyle w:val="Lienhypertexte"/>
          </w:rPr>
          <w:t>http://www.diplomatie.gouv.fr/fr/conseils-aux-voyageurs/</w:t>
        </w:r>
      </w:hyperlink>
      <w:r w:rsidR="00082C69">
        <w:t xml:space="preserve">  </w:t>
      </w:r>
      <w:r w:rsidR="0009028A">
        <w:t>et de s’inscrire sur le portail d’enregistrement des voyages à l’étranger</w:t>
      </w:r>
      <w:r w:rsidR="00D0129D">
        <w:t xml:space="preserve"> « Ariane ».</w:t>
      </w:r>
    </w:p>
    <w:p w:rsidR="0009028A" w:rsidRDefault="00082C69" w:rsidP="0009028A">
      <w:pPr>
        <w:pStyle w:val="Pa10"/>
        <w:jc w:val="both"/>
      </w:pPr>
      <w:r>
        <w:t xml:space="preserve"> </w:t>
      </w:r>
    </w:p>
    <w:p w:rsidR="00D25855" w:rsidRDefault="00C27695" w:rsidP="00082C69">
      <w:pPr>
        <w:spacing w:before="120"/>
        <w:ind w:firstLine="708"/>
        <w:jc w:val="both"/>
      </w:pPr>
      <w:r>
        <w:t>Une circulaire de l’éducation nationale définit les responsabilités en matière d’organisation de voyages et en cas de dommages résultant de leur empêchement.</w:t>
      </w:r>
    </w:p>
    <w:p w:rsidR="00082C69" w:rsidRDefault="00082C69" w:rsidP="00082C69">
      <w:pPr>
        <w:spacing w:before="120"/>
        <w:ind w:firstLine="708"/>
        <w:jc w:val="both"/>
      </w:pPr>
      <w:r>
        <w:t>Enfin il est recommandé aux services académiques d’être informés des voyages scolaires à l’étranger organisés par les établissements scolaires afin de faire des points de situation rapide en cas de danger ou de crise internationale soudaine</w:t>
      </w:r>
      <w:r w:rsidR="009219DB">
        <w:t xml:space="preserve"> susceptible de les mettre en danger</w:t>
      </w:r>
      <w:r>
        <w:t>.</w:t>
      </w:r>
    </w:p>
    <w:p w:rsidR="00942636" w:rsidRPr="00D25855" w:rsidRDefault="00942636" w:rsidP="00082C69">
      <w:pPr>
        <w:spacing w:before="120"/>
        <w:ind w:firstLine="708"/>
        <w:jc w:val="both"/>
      </w:pPr>
    </w:p>
    <w:sectPr w:rsidR="00942636" w:rsidRPr="00D25855" w:rsidSect="004800C8">
      <w:footerReference w:type="default" r:id="rId9"/>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B5" w:rsidRDefault="00C12BB5" w:rsidP="009C0DE6">
      <w:r>
        <w:separator/>
      </w:r>
    </w:p>
  </w:endnote>
  <w:endnote w:type="continuationSeparator" w:id="0">
    <w:p w:rsidR="00C12BB5" w:rsidRDefault="00C12BB5" w:rsidP="009C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Gras">
    <w:panose1 w:val="00000000000000000000"/>
    <w:charset w:val="00"/>
    <w:family w:val="roman"/>
    <w:notTrueType/>
    <w:pitch w:val="default"/>
    <w:sig w:usb0="00000003" w:usb1="00000000" w:usb2="00000000" w:usb3="00000000" w:csb0="00000001" w:csb1="00000000"/>
  </w:font>
  <w:font w:name="Liberation Sans">
    <w:altName w:val="MS Mincho"/>
    <w:charset w:val="80"/>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EA" w:rsidRDefault="00F456FD">
    <w:pPr>
      <w:pStyle w:val="Pieddepage"/>
      <w:jc w:val="right"/>
    </w:pPr>
    <w:r>
      <w:t xml:space="preserve">                                                                    </w:t>
    </w:r>
    <w:sdt>
      <w:sdtPr>
        <w:id w:val="550612844"/>
        <w:docPartObj>
          <w:docPartGallery w:val="Page Numbers (Bottom of Page)"/>
          <w:docPartUnique/>
        </w:docPartObj>
      </w:sdtPr>
      <w:sdtContent>
        <w:r w:rsidR="00A562AB">
          <w:fldChar w:fldCharType="begin"/>
        </w:r>
        <w:r w:rsidR="007036A8">
          <w:instrText xml:space="preserve"> PAGE   \* MERGEFORMAT </w:instrText>
        </w:r>
        <w:r w:rsidR="00A562AB">
          <w:fldChar w:fldCharType="separate"/>
        </w:r>
        <w:r w:rsidR="00DC29C9">
          <w:rPr>
            <w:noProof/>
          </w:rPr>
          <w:t>6</w:t>
        </w:r>
        <w:r w:rsidR="00A562AB">
          <w:rPr>
            <w:noProof/>
          </w:rPr>
          <w:fldChar w:fldCharType="end"/>
        </w:r>
      </w:sdtContent>
    </w:sdt>
  </w:p>
  <w:p w:rsidR="00C30DEA" w:rsidRDefault="00F456FD">
    <w:pPr>
      <w:pStyle w:val="Pieddepage"/>
    </w:pPr>
    <w:r>
      <w:t xml:space="preserve">                         Haut fonctionnaire de défense et de sécurité      28 </w:t>
    </w:r>
    <w:r w:rsidR="00DA249B">
      <w:t>/01</w:t>
    </w:r>
    <w: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B5" w:rsidRDefault="00C12BB5" w:rsidP="009C0DE6">
      <w:r>
        <w:separator/>
      </w:r>
    </w:p>
  </w:footnote>
  <w:footnote w:type="continuationSeparator" w:id="0">
    <w:p w:rsidR="00C12BB5" w:rsidRDefault="00C12BB5" w:rsidP="009C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FC"/>
    <w:multiLevelType w:val="multilevel"/>
    <w:tmpl w:val="4BB4B94A"/>
    <w:lvl w:ilvl="0">
      <w:start w:val="1"/>
      <w:numFmt w:val="decimal"/>
      <w:lvlText w:val="%1."/>
      <w:lvlJc w:val="left"/>
      <w:pPr>
        <w:tabs>
          <w:tab w:val="num" w:pos="567"/>
        </w:tabs>
        <w:ind w:left="0" w:firstLine="0"/>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AB37FE"/>
    <w:multiLevelType w:val="hybridMultilevel"/>
    <w:tmpl w:val="CF50E852"/>
    <w:lvl w:ilvl="0" w:tplc="3F5AC50C">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40989"/>
    <w:multiLevelType w:val="hybridMultilevel"/>
    <w:tmpl w:val="5F466C16"/>
    <w:lvl w:ilvl="0" w:tplc="D0B0A3DE">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F5BD3"/>
    <w:multiLevelType w:val="hybridMultilevel"/>
    <w:tmpl w:val="773E1E4E"/>
    <w:lvl w:ilvl="0" w:tplc="DD52152A">
      <w:start w:val="1"/>
      <w:numFmt w:val="bullet"/>
      <w:lvlText w:val="-"/>
      <w:lvlJc w:val="left"/>
      <w:pPr>
        <w:tabs>
          <w:tab w:val="num" w:pos="720"/>
        </w:tabs>
        <w:ind w:left="720" w:hanging="360"/>
      </w:pPr>
      <w:rPr>
        <w:rFonts w:ascii="Times New Roman" w:eastAsia="Times New Roman" w:hAnsi="Times New Roman" w:hint="default"/>
      </w:rPr>
    </w:lvl>
    <w:lvl w:ilvl="1" w:tplc="090A13E0">
      <w:start w:val="4"/>
      <w:numFmt w:val="bullet"/>
      <w:lvlText w:val=""/>
      <w:lvlJc w:val="left"/>
      <w:pPr>
        <w:tabs>
          <w:tab w:val="num" w:pos="1440"/>
        </w:tabs>
        <w:ind w:left="1440" w:hanging="360"/>
      </w:pPr>
      <w:rPr>
        <w:rFonts w:ascii="Symbol" w:eastAsia="Times New Roman"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9B5AF0"/>
    <w:multiLevelType w:val="hybridMultilevel"/>
    <w:tmpl w:val="D3A021BC"/>
    <w:lvl w:ilvl="0" w:tplc="FFFFFFFF">
      <w:start w:val="1"/>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18AB0E82"/>
    <w:multiLevelType w:val="hybridMultilevel"/>
    <w:tmpl w:val="63843D3E"/>
    <w:lvl w:ilvl="0" w:tplc="EE7489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60579F"/>
    <w:multiLevelType w:val="hybridMultilevel"/>
    <w:tmpl w:val="A3708958"/>
    <w:lvl w:ilvl="0" w:tplc="AB989224">
      <w:start w:val="1"/>
      <w:numFmt w:val="bullet"/>
      <w:lvlText w:val=""/>
      <w:lvlJc w:val="left"/>
      <w:pPr>
        <w:ind w:left="720" w:hanging="360"/>
      </w:pPr>
      <w:rPr>
        <w:rFonts w:ascii="Symbol" w:hAnsi="Symbol" w:hint="default"/>
      </w:rPr>
    </w:lvl>
    <w:lvl w:ilvl="1" w:tplc="AB98922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681474"/>
    <w:multiLevelType w:val="hybridMultilevel"/>
    <w:tmpl w:val="63843D3E"/>
    <w:lvl w:ilvl="0" w:tplc="EE7489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CB432B"/>
    <w:multiLevelType w:val="hybridMultilevel"/>
    <w:tmpl w:val="4562501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365B15"/>
    <w:multiLevelType w:val="hybridMultilevel"/>
    <w:tmpl w:val="349C8F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1C33B5"/>
    <w:multiLevelType w:val="hybridMultilevel"/>
    <w:tmpl w:val="A1466B72"/>
    <w:lvl w:ilvl="0" w:tplc="AB989224">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1">
    <w:nsid w:val="4B0C555C"/>
    <w:multiLevelType w:val="multilevel"/>
    <w:tmpl w:val="4BB4B94A"/>
    <w:lvl w:ilvl="0">
      <w:start w:val="1"/>
      <w:numFmt w:val="decimal"/>
      <w:lvlText w:val="%1."/>
      <w:lvlJc w:val="left"/>
      <w:pPr>
        <w:tabs>
          <w:tab w:val="num" w:pos="567"/>
        </w:tabs>
        <w:ind w:left="0" w:firstLine="0"/>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2C466A1"/>
    <w:multiLevelType w:val="multilevel"/>
    <w:tmpl w:val="FB92CCA6"/>
    <w:lvl w:ilvl="0">
      <w:numFmt w:val="bullet"/>
      <w:lvlText w:val=""/>
      <w:lvlJc w:val="left"/>
      <w:pPr>
        <w:tabs>
          <w:tab w:val="num" w:pos="720"/>
        </w:tabs>
        <w:ind w:left="720" w:hanging="360"/>
      </w:pPr>
      <w:rPr>
        <w:rFonts w:ascii="Webdings" w:eastAsia="Calibri" w:hAnsi="Webdings" w:cs="Times New Roman" w:hint="default"/>
        <w:sz w:val="24"/>
        <w:szCs w:val="24"/>
      </w:rPr>
    </w:lvl>
    <w:lvl w:ilvl="1">
      <w:start w:val="1"/>
      <w:numFmt w:val="decimal"/>
      <w:lvlText w:val="%1.%2."/>
      <w:lvlJc w:val="left"/>
      <w:pPr>
        <w:tabs>
          <w:tab w:val="num" w:pos="567"/>
        </w:tabs>
        <w:ind w:left="567" w:hanging="567"/>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943A34"/>
    <w:multiLevelType w:val="hybridMultilevel"/>
    <w:tmpl w:val="7F0ECC5E"/>
    <w:lvl w:ilvl="0" w:tplc="BB3EF0E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58BA2863"/>
    <w:multiLevelType w:val="hybridMultilevel"/>
    <w:tmpl w:val="7B90AD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3A4B20"/>
    <w:multiLevelType w:val="multilevel"/>
    <w:tmpl w:val="4BB4B94A"/>
    <w:lvl w:ilvl="0">
      <w:start w:val="1"/>
      <w:numFmt w:val="decimal"/>
      <w:lvlText w:val="%1."/>
      <w:lvlJc w:val="left"/>
      <w:pPr>
        <w:tabs>
          <w:tab w:val="num" w:pos="567"/>
        </w:tabs>
        <w:ind w:left="0" w:firstLine="0"/>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2563B02"/>
    <w:multiLevelType w:val="hybridMultilevel"/>
    <w:tmpl w:val="E18A1612"/>
    <w:lvl w:ilvl="0" w:tplc="BB3EF0E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E905D7"/>
    <w:multiLevelType w:val="multilevel"/>
    <w:tmpl w:val="8152A7AA"/>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94967DB"/>
    <w:multiLevelType w:val="hybridMultilevel"/>
    <w:tmpl w:val="FD7E67B2"/>
    <w:lvl w:ilvl="0" w:tplc="AB9892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652BC2"/>
    <w:multiLevelType w:val="multilevel"/>
    <w:tmpl w:val="4BB4B94A"/>
    <w:lvl w:ilvl="0">
      <w:start w:val="1"/>
      <w:numFmt w:val="decimal"/>
      <w:lvlText w:val="%1."/>
      <w:lvlJc w:val="left"/>
      <w:pPr>
        <w:tabs>
          <w:tab w:val="num" w:pos="567"/>
        </w:tabs>
        <w:ind w:left="0" w:firstLine="0"/>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9252DB"/>
    <w:multiLevelType w:val="hybridMultilevel"/>
    <w:tmpl w:val="94727154"/>
    <w:lvl w:ilvl="0" w:tplc="91A02D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D24B0C"/>
    <w:multiLevelType w:val="hybridMultilevel"/>
    <w:tmpl w:val="7B8AF2F2"/>
    <w:lvl w:ilvl="0" w:tplc="AB9892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1"/>
  </w:num>
  <w:num w:numId="5">
    <w:abstractNumId w:val="12"/>
  </w:num>
  <w:num w:numId="6">
    <w:abstractNumId w:val="19"/>
  </w:num>
  <w:num w:numId="7">
    <w:abstractNumId w:val="16"/>
  </w:num>
  <w:num w:numId="8">
    <w:abstractNumId w:val="13"/>
  </w:num>
  <w:num w:numId="9">
    <w:abstractNumId w:val="0"/>
  </w:num>
  <w:num w:numId="10">
    <w:abstractNumId w:val="10"/>
  </w:num>
  <w:num w:numId="11">
    <w:abstractNumId w:val="18"/>
  </w:num>
  <w:num w:numId="12">
    <w:abstractNumId w:val="21"/>
  </w:num>
  <w:num w:numId="13">
    <w:abstractNumId w:val="17"/>
  </w:num>
  <w:num w:numId="14">
    <w:abstractNumId w:val="6"/>
  </w:num>
  <w:num w:numId="15">
    <w:abstractNumId w:val="14"/>
  </w:num>
  <w:num w:numId="16">
    <w:abstractNumId w:val="7"/>
  </w:num>
  <w:num w:numId="17">
    <w:abstractNumId w:val="5"/>
  </w:num>
  <w:num w:numId="18">
    <w:abstractNumId w:val="1"/>
  </w:num>
  <w:num w:numId="19">
    <w:abstractNumId w:val="20"/>
  </w:num>
  <w:num w:numId="20">
    <w:abstractNumId w:val="8"/>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933D8"/>
    <w:rsid w:val="00004B62"/>
    <w:rsid w:val="00055930"/>
    <w:rsid w:val="00062028"/>
    <w:rsid w:val="00082C69"/>
    <w:rsid w:val="000868D8"/>
    <w:rsid w:val="0009028A"/>
    <w:rsid w:val="000B62C0"/>
    <w:rsid w:val="000E5359"/>
    <w:rsid w:val="000F5B8F"/>
    <w:rsid w:val="00103EB0"/>
    <w:rsid w:val="00111A7C"/>
    <w:rsid w:val="00126AAA"/>
    <w:rsid w:val="00157468"/>
    <w:rsid w:val="00170286"/>
    <w:rsid w:val="001712F8"/>
    <w:rsid w:val="001816FD"/>
    <w:rsid w:val="001936D0"/>
    <w:rsid w:val="001D244B"/>
    <w:rsid w:val="00243DD3"/>
    <w:rsid w:val="002565E6"/>
    <w:rsid w:val="0026423E"/>
    <w:rsid w:val="00285016"/>
    <w:rsid w:val="002933D8"/>
    <w:rsid w:val="002B1631"/>
    <w:rsid w:val="002B4675"/>
    <w:rsid w:val="002C3DA5"/>
    <w:rsid w:val="00335563"/>
    <w:rsid w:val="00362840"/>
    <w:rsid w:val="00372AE6"/>
    <w:rsid w:val="003760DF"/>
    <w:rsid w:val="003772AD"/>
    <w:rsid w:val="0038152A"/>
    <w:rsid w:val="0038201F"/>
    <w:rsid w:val="003A095B"/>
    <w:rsid w:val="003B10AC"/>
    <w:rsid w:val="0042033A"/>
    <w:rsid w:val="004800C8"/>
    <w:rsid w:val="004B5F21"/>
    <w:rsid w:val="00547B7F"/>
    <w:rsid w:val="00567C71"/>
    <w:rsid w:val="006065FA"/>
    <w:rsid w:val="00647F64"/>
    <w:rsid w:val="00650924"/>
    <w:rsid w:val="006763D6"/>
    <w:rsid w:val="006D58F2"/>
    <w:rsid w:val="006F1316"/>
    <w:rsid w:val="007036A8"/>
    <w:rsid w:val="008358DA"/>
    <w:rsid w:val="008410BE"/>
    <w:rsid w:val="00852698"/>
    <w:rsid w:val="008C1E97"/>
    <w:rsid w:val="008D1E19"/>
    <w:rsid w:val="009219DB"/>
    <w:rsid w:val="00942636"/>
    <w:rsid w:val="00946004"/>
    <w:rsid w:val="009C000C"/>
    <w:rsid w:val="009C0DE6"/>
    <w:rsid w:val="009E435D"/>
    <w:rsid w:val="00A51B55"/>
    <w:rsid w:val="00A562AB"/>
    <w:rsid w:val="00AB40E1"/>
    <w:rsid w:val="00B6160C"/>
    <w:rsid w:val="00B666E0"/>
    <w:rsid w:val="00B8651E"/>
    <w:rsid w:val="00B86819"/>
    <w:rsid w:val="00B9698C"/>
    <w:rsid w:val="00BA1D9F"/>
    <w:rsid w:val="00C03203"/>
    <w:rsid w:val="00C03C07"/>
    <w:rsid w:val="00C12BB5"/>
    <w:rsid w:val="00C21254"/>
    <w:rsid w:val="00C27695"/>
    <w:rsid w:val="00C30DEA"/>
    <w:rsid w:val="00C62184"/>
    <w:rsid w:val="00C84498"/>
    <w:rsid w:val="00C87EFE"/>
    <w:rsid w:val="00C91ACF"/>
    <w:rsid w:val="00D0129D"/>
    <w:rsid w:val="00D25855"/>
    <w:rsid w:val="00D2601A"/>
    <w:rsid w:val="00D43766"/>
    <w:rsid w:val="00D63F9E"/>
    <w:rsid w:val="00D82D16"/>
    <w:rsid w:val="00DA249B"/>
    <w:rsid w:val="00DC29C9"/>
    <w:rsid w:val="00DC2E46"/>
    <w:rsid w:val="00DD227D"/>
    <w:rsid w:val="00DE41C4"/>
    <w:rsid w:val="00E2055D"/>
    <w:rsid w:val="00E52051"/>
    <w:rsid w:val="00E83951"/>
    <w:rsid w:val="00EA71E1"/>
    <w:rsid w:val="00EB044B"/>
    <w:rsid w:val="00ED2B22"/>
    <w:rsid w:val="00EF4CFF"/>
    <w:rsid w:val="00F06EB7"/>
    <w:rsid w:val="00F2212F"/>
    <w:rsid w:val="00F22E6C"/>
    <w:rsid w:val="00F364B0"/>
    <w:rsid w:val="00F37ED3"/>
    <w:rsid w:val="00F40490"/>
    <w:rsid w:val="00F456FD"/>
    <w:rsid w:val="00F62E5E"/>
    <w:rsid w:val="00FA58F3"/>
    <w:rsid w:val="00FB451B"/>
    <w:rsid w:val="00FD54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D8"/>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293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5Car">
    <w:name w:val="Car5 Car"/>
    <w:basedOn w:val="Titre1"/>
    <w:next w:val="Normal"/>
    <w:autoRedefine/>
    <w:rsid w:val="002933D8"/>
    <w:pPr>
      <w:keepNext w:val="0"/>
      <w:keepLines w:val="0"/>
      <w:spacing w:after="160" w:line="240" w:lineRule="exact"/>
      <w:jc w:val="both"/>
    </w:pPr>
    <w:rPr>
      <w:rFonts w:ascii="Times New Roman Gras" w:eastAsia="Times New Roman" w:hAnsi="Times New Roman Gras" w:cs="Times New Roman Gras"/>
      <w:smallCaps/>
      <w:color w:val="auto"/>
      <w:lang w:val="en-US" w:eastAsia="en-US"/>
    </w:rPr>
  </w:style>
  <w:style w:type="character" w:customStyle="1" w:styleId="Titre1Car">
    <w:name w:val="Titre 1 Car"/>
    <w:basedOn w:val="Policepardfaut"/>
    <w:link w:val="Titre1"/>
    <w:uiPriority w:val="9"/>
    <w:rsid w:val="002933D8"/>
    <w:rPr>
      <w:rFonts w:asciiTheme="majorHAnsi" w:eastAsiaTheme="majorEastAsia" w:hAnsiTheme="majorHAnsi" w:cstheme="majorBidi"/>
      <w:b/>
      <w:bCs/>
      <w:color w:val="365F91" w:themeColor="accent1" w:themeShade="BF"/>
      <w:sz w:val="28"/>
      <w:szCs w:val="28"/>
      <w:lang w:eastAsia="ja-JP"/>
    </w:rPr>
  </w:style>
  <w:style w:type="paragraph" w:styleId="Paragraphedeliste">
    <w:name w:val="List Paragraph"/>
    <w:basedOn w:val="Normal"/>
    <w:uiPriority w:val="34"/>
    <w:qFormat/>
    <w:rsid w:val="00B86819"/>
    <w:pPr>
      <w:ind w:left="720"/>
      <w:contextualSpacing/>
    </w:pPr>
  </w:style>
  <w:style w:type="paragraph" w:styleId="Notedebasdepage">
    <w:name w:val="footnote text"/>
    <w:basedOn w:val="Normal"/>
    <w:link w:val="NotedebasdepageCar"/>
    <w:semiHidden/>
    <w:rsid w:val="009C0DE6"/>
    <w:rPr>
      <w:sz w:val="20"/>
      <w:szCs w:val="20"/>
    </w:rPr>
  </w:style>
  <w:style w:type="character" w:customStyle="1" w:styleId="NotedebasdepageCar">
    <w:name w:val="Note de bas de page Car"/>
    <w:basedOn w:val="Policepardfaut"/>
    <w:link w:val="Notedebasdepage"/>
    <w:semiHidden/>
    <w:rsid w:val="009C0DE6"/>
    <w:rPr>
      <w:rFonts w:ascii="Times New Roman" w:eastAsia="MS Mincho" w:hAnsi="Times New Roman" w:cs="Times New Roman"/>
      <w:sz w:val="20"/>
      <w:szCs w:val="20"/>
      <w:lang w:eastAsia="ja-JP"/>
    </w:rPr>
  </w:style>
  <w:style w:type="character" w:styleId="Appelnotedebasdep">
    <w:name w:val="footnote reference"/>
    <w:semiHidden/>
    <w:rsid w:val="009C0DE6"/>
    <w:rPr>
      <w:vertAlign w:val="superscript"/>
    </w:rPr>
  </w:style>
  <w:style w:type="paragraph" w:customStyle="1" w:styleId="Standard">
    <w:name w:val="Standard"/>
    <w:rsid w:val="009C0DE6"/>
    <w:pPr>
      <w:widowControl w:val="0"/>
      <w:suppressAutoHyphens/>
      <w:autoSpaceDN w:val="0"/>
      <w:spacing w:after="0" w:line="240" w:lineRule="auto"/>
      <w:textAlignment w:val="baseline"/>
    </w:pPr>
    <w:rPr>
      <w:rFonts w:ascii="Liberation Sans" w:eastAsia="SimSun" w:hAnsi="Liberation Sans" w:cs="Liberation Sans"/>
      <w:kern w:val="3"/>
      <w:sz w:val="24"/>
      <w:szCs w:val="24"/>
      <w:lang w:eastAsia="zh-CN"/>
    </w:rPr>
  </w:style>
  <w:style w:type="paragraph" w:customStyle="1" w:styleId="Textbody">
    <w:name w:val="Text body"/>
    <w:basedOn w:val="Standard"/>
    <w:rsid w:val="009C0DE6"/>
    <w:pPr>
      <w:spacing w:after="120"/>
    </w:pPr>
  </w:style>
  <w:style w:type="paragraph" w:styleId="Corpsdetexte">
    <w:name w:val="Body Text"/>
    <w:basedOn w:val="Normal"/>
    <w:link w:val="CorpsdetexteCar"/>
    <w:rsid w:val="009C0DE6"/>
    <w:pPr>
      <w:spacing w:after="120"/>
      <w:jc w:val="both"/>
    </w:pPr>
    <w:rPr>
      <w:lang w:eastAsia="fr-FR"/>
    </w:rPr>
  </w:style>
  <w:style w:type="character" w:customStyle="1" w:styleId="CorpsdetexteCar">
    <w:name w:val="Corps de texte Car"/>
    <w:basedOn w:val="Policepardfaut"/>
    <w:link w:val="Corpsdetexte"/>
    <w:rsid w:val="009C0DE6"/>
    <w:rPr>
      <w:rFonts w:ascii="Times New Roman" w:eastAsia="MS Mincho" w:hAnsi="Times New Roman" w:cs="Times New Roman"/>
      <w:sz w:val="24"/>
      <w:szCs w:val="24"/>
      <w:lang w:eastAsia="fr-FR"/>
    </w:rPr>
  </w:style>
  <w:style w:type="character" w:customStyle="1" w:styleId="LienInternet">
    <w:name w:val="Lien Internet"/>
    <w:rsid w:val="009C0DE6"/>
    <w:rPr>
      <w:rFonts w:cs="Times New Roman"/>
      <w:color w:val="0000FF"/>
      <w:u w:val="single"/>
      <w:lang w:val="fr-FR" w:eastAsia="fr-FR"/>
    </w:rPr>
  </w:style>
  <w:style w:type="paragraph" w:styleId="Textedebulles">
    <w:name w:val="Balloon Text"/>
    <w:basedOn w:val="Normal"/>
    <w:link w:val="TextedebullesCar"/>
    <w:uiPriority w:val="99"/>
    <w:semiHidden/>
    <w:unhideWhenUsed/>
    <w:rsid w:val="000E5359"/>
    <w:rPr>
      <w:rFonts w:ascii="Tahoma" w:hAnsi="Tahoma" w:cs="Tahoma"/>
      <w:sz w:val="16"/>
      <w:szCs w:val="16"/>
    </w:rPr>
  </w:style>
  <w:style w:type="character" w:customStyle="1" w:styleId="TextedebullesCar">
    <w:name w:val="Texte de bulles Car"/>
    <w:basedOn w:val="Policepardfaut"/>
    <w:link w:val="Textedebulles"/>
    <w:uiPriority w:val="99"/>
    <w:semiHidden/>
    <w:rsid w:val="000E5359"/>
    <w:rPr>
      <w:rFonts w:ascii="Tahoma" w:eastAsia="MS Mincho" w:hAnsi="Tahoma" w:cs="Tahoma"/>
      <w:sz w:val="16"/>
      <w:szCs w:val="16"/>
      <w:lang w:eastAsia="ja-JP"/>
    </w:rPr>
  </w:style>
  <w:style w:type="character" w:styleId="Lienhypertexte">
    <w:name w:val="Hyperlink"/>
    <w:basedOn w:val="Policepardfaut"/>
    <w:uiPriority w:val="99"/>
    <w:unhideWhenUsed/>
    <w:rsid w:val="00082C69"/>
    <w:rPr>
      <w:color w:val="0000FF" w:themeColor="hyperlink"/>
      <w:u w:val="single"/>
    </w:rPr>
  </w:style>
  <w:style w:type="paragraph" w:styleId="En-tte">
    <w:name w:val="header"/>
    <w:basedOn w:val="Normal"/>
    <w:link w:val="En-tteCar"/>
    <w:uiPriority w:val="99"/>
    <w:unhideWhenUsed/>
    <w:rsid w:val="00082C69"/>
    <w:pPr>
      <w:tabs>
        <w:tab w:val="center" w:pos="4536"/>
        <w:tab w:val="right" w:pos="9072"/>
      </w:tabs>
    </w:pPr>
  </w:style>
  <w:style w:type="character" w:customStyle="1" w:styleId="En-tteCar">
    <w:name w:val="En-tête Car"/>
    <w:basedOn w:val="Policepardfaut"/>
    <w:link w:val="En-tte"/>
    <w:uiPriority w:val="99"/>
    <w:rsid w:val="00082C69"/>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082C69"/>
    <w:pPr>
      <w:tabs>
        <w:tab w:val="center" w:pos="4536"/>
        <w:tab w:val="right" w:pos="9072"/>
      </w:tabs>
    </w:pPr>
  </w:style>
  <w:style w:type="character" w:customStyle="1" w:styleId="PieddepageCar">
    <w:name w:val="Pied de page Car"/>
    <w:basedOn w:val="Policepardfaut"/>
    <w:link w:val="Pieddepage"/>
    <w:uiPriority w:val="99"/>
    <w:rsid w:val="00082C69"/>
    <w:rPr>
      <w:rFonts w:ascii="Times New Roman" w:eastAsia="MS Mincho" w:hAnsi="Times New Roman" w:cs="Times New Roman"/>
      <w:sz w:val="24"/>
      <w:szCs w:val="24"/>
      <w:lang w:eastAsia="ja-JP"/>
    </w:rPr>
  </w:style>
  <w:style w:type="paragraph" w:customStyle="1" w:styleId="Pa10">
    <w:name w:val="Pa10"/>
    <w:basedOn w:val="Normal"/>
    <w:next w:val="Normal"/>
    <w:uiPriority w:val="99"/>
    <w:rsid w:val="0009028A"/>
    <w:pPr>
      <w:autoSpaceDE w:val="0"/>
      <w:autoSpaceDN w:val="0"/>
      <w:adjustRightInd w:val="0"/>
      <w:spacing w:line="201" w:lineRule="atLeast"/>
    </w:pPr>
    <w:rPr>
      <w:rFonts w:ascii="Arial" w:eastAsiaTheme="minorHAnsi" w:hAnsi="Arial" w:cs="Arial"/>
      <w:lang w:eastAsia="en-US"/>
    </w:rPr>
  </w:style>
  <w:style w:type="paragraph" w:customStyle="1" w:styleId="Pa30">
    <w:name w:val="Pa30"/>
    <w:basedOn w:val="Normal"/>
    <w:next w:val="Normal"/>
    <w:uiPriority w:val="99"/>
    <w:rsid w:val="0009028A"/>
    <w:pPr>
      <w:autoSpaceDE w:val="0"/>
      <w:autoSpaceDN w:val="0"/>
      <w:adjustRightInd w:val="0"/>
      <w:spacing w:line="201" w:lineRule="atLeast"/>
    </w:pPr>
    <w:rPr>
      <w:rFonts w:ascii="Arial" w:eastAsiaTheme="minorHAnsi" w:hAnsi="Arial" w:cs="Arial"/>
      <w:lang w:eastAsia="en-US"/>
    </w:rPr>
  </w:style>
  <w:style w:type="character" w:customStyle="1" w:styleId="A14">
    <w:name w:val="A14"/>
    <w:uiPriority w:val="99"/>
    <w:rsid w:val="0009028A"/>
    <w:rP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D8"/>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293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5Car">
    <w:name w:val="Car5 Car"/>
    <w:basedOn w:val="Titre1"/>
    <w:next w:val="Normal"/>
    <w:autoRedefine/>
    <w:rsid w:val="002933D8"/>
    <w:pPr>
      <w:keepNext w:val="0"/>
      <w:keepLines w:val="0"/>
      <w:spacing w:after="160" w:line="240" w:lineRule="exact"/>
      <w:jc w:val="both"/>
    </w:pPr>
    <w:rPr>
      <w:rFonts w:ascii="Times New Roman Gras" w:eastAsia="Times New Roman" w:hAnsi="Times New Roman Gras" w:cs="Times New Roman Gras"/>
      <w:smallCaps/>
      <w:color w:val="auto"/>
      <w:lang w:val="en-US" w:eastAsia="en-US"/>
    </w:rPr>
  </w:style>
  <w:style w:type="character" w:customStyle="1" w:styleId="Titre1Car">
    <w:name w:val="Titre 1 Car"/>
    <w:basedOn w:val="Policepardfaut"/>
    <w:link w:val="Titre1"/>
    <w:uiPriority w:val="9"/>
    <w:rsid w:val="002933D8"/>
    <w:rPr>
      <w:rFonts w:asciiTheme="majorHAnsi" w:eastAsiaTheme="majorEastAsia" w:hAnsiTheme="majorHAnsi" w:cstheme="majorBidi"/>
      <w:b/>
      <w:bCs/>
      <w:color w:val="365F91" w:themeColor="accent1" w:themeShade="BF"/>
      <w:sz w:val="28"/>
      <w:szCs w:val="28"/>
      <w:lang w:eastAsia="ja-JP"/>
    </w:rPr>
  </w:style>
  <w:style w:type="paragraph" w:styleId="Paragraphedeliste">
    <w:name w:val="List Paragraph"/>
    <w:basedOn w:val="Normal"/>
    <w:uiPriority w:val="34"/>
    <w:qFormat/>
    <w:rsid w:val="00B86819"/>
    <w:pPr>
      <w:ind w:left="720"/>
      <w:contextualSpacing/>
    </w:pPr>
  </w:style>
  <w:style w:type="paragraph" w:styleId="Notedebasdepage">
    <w:name w:val="footnote text"/>
    <w:basedOn w:val="Normal"/>
    <w:link w:val="NotedebasdepageCar"/>
    <w:semiHidden/>
    <w:rsid w:val="009C0DE6"/>
    <w:rPr>
      <w:sz w:val="20"/>
      <w:szCs w:val="20"/>
    </w:rPr>
  </w:style>
  <w:style w:type="character" w:customStyle="1" w:styleId="NotedebasdepageCar">
    <w:name w:val="Note de bas de page Car"/>
    <w:basedOn w:val="Policepardfaut"/>
    <w:link w:val="Notedebasdepage"/>
    <w:semiHidden/>
    <w:rsid w:val="009C0DE6"/>
    <w:rPr>
      <w:rFonts w:ascii="Times New Roman" w:eastAsia="MS Mincho" w:hAnsi="Times New Roman" w:cs="Times New Roman"/>
      <w:sz w:val="20"/>
      <w:szCs w:val="20"/>
      <w:lang w:eastAsia="ja-JP"/>
    </w:rPr>
  </w:style>
  <w:style w:type="character" w:styleId="Appelnotedebasdep">
    <w:name w:val="footnote reference"/>
    <w:semiHidden/>
    <w:rsid w:val="009C0DE6"/>
    <w:rPr>
      <w:vertAlign w:val="superscript"/>
    </w:rPr>
  </w:style>
  <w:style w:type="paragraph" w:customStyle="1" w:styleId="Standard">
    <w:name w:val="Standard"/>
    <w:rsid w:val="009C0DE6"/>
    <w:pPr>
      <w:widowControl w:val="0"/>
      <w:suppressAutoHyphens/>
      <w:autoSpaceDN w:val="0"/>
      <w:spacing w:after="0" w:line="240" w:lineRule="auto"/>
      <w:textAlignment w:val="baseline"/>
    </w:pPr>
    <w:rPr>
      <w:rFonts w:ascii="Liberation Sans" w:eastAsia="SimSun" w:hAnsi="Liberation Sans" w:cs="Liberation Sans"/>
      <w:kern w:val="3"/>
      <w:sz w:val="24"/>
      <w:szCs w:val="24"/>
      <w:lang w:eastAsia="zh-CN"/>
    </w:rPr>
  </w:style>
  <w:style w:type="paragraph" w:customStyle="1" w:styleId="Textbody">
    <w:name w:val="Text body"/>
    <w:basedOn w:val="Standard"/>
    <w:rsid w:val="009C0DE6"/>
    <w:pPr>
      <w:spacing w:after="120"/>
    </w:pPr>
  </w:style>
  <w:style w:type="paragraph" w:styleId="Corpsdetexte">
    <w:name w:val="Body Text"/>
    <w:basedOn w:val="Normal"/>
    <w:link w:val="CorpsdetexteCar"/>
    <w:rsid w:val="009C0DE6"/>
    <w:pPr>
      <w:spacing w:after="120"/>
      <w:jc w:val="both"/>
    </w:pPr>
    <w:rPr>
      <w:lang w:eastAsia="fr-FR"/>
    </w:rPr>
  </w:style>
  <w:style w:type="character" w:customStyle="1" w:styleId="CorpsdetexteCar">
    <w:name w:val="Corps de texte Car"/>
    <w:basedOn w:val="Policepardfaut"/>
    <w:link w:val="Corpsdetexte"/>
    <w:rsid w:val="009C0DE6"/>
    <w:rPr>
      <w:rFonts w:ascii="Times New Roman" w:eastAsia="MS Mincho" w:hAnsi="Times New Roman" w:cs="Times New Roman"/>
      <w:sz w:val="24"/>
      <w:szCs w:val="24"/>
      <w:lang w:eastAsia="fr-FR"/>
    </w:rPr>
  </w:style>
  <w:style w:type="character" w:customStyle="1" w:styleId="LienInternet">
    <w:name w:val="Lien Internet"/>
    <w:rsid w:val="009C0DE6"/>
    <w:rPr>
      <w:rFonts w:cs="Times New Roman"/>
      <w:color w:val="0000FF"/>
      <w:u w:val="single"/>
      <w:lang w:val="fr-FR" w:eastAsia="fr-FR"/>
    </w:rPr>
  </w:style>
  <w:style w:type="paragraph" w:styleId="Textedebulles">
    <w:name w:val="Balloon Text"/>
    <w:basedOn w:val="Normal"/>
    <w:link w:val="TextedebullesCar"/>
    <w:uiPriority w:val="99"/>
    <w:semiHidden/>
    <w:unhideWhenUsed/>
    <w:rsid w:val="000E5359"/>
    <w:rPr>
      <w:rFonts w:ascii="Tahoma" w:hAnsi="Tahoma" w:cs="Tahoma"/>
      <w:sz w:val="16"/>
      <w:szCs w:val="16"/>
    </w:rPr>
  </w:style>
  <w:style w:type="character" w:customStyle="1" w:styleId="TextedebullesCar">
    <w:name w:val="Texte de bulles Car"/>
    <w:basedOn w:val="Policepardfaut"/>
    <w:link w:val="Textedebulles"/>
    <w:uiPriority w:val="99"/>
    <w:semiHidden/>
    <w:rsid w:val="000E5359"/>
    <w:rPr>
      <w:rFonts w:ascii="Tahoma" w:eastAsia="MS Mincho" w:hAnsi="Tahoma" w:cs="Tahoma"/>
      <w:sz w:val="16"/>
      <w:szCs w:val="16"/>
      <w:lang w:eastAsia="ja-JP"/>
    </w:rPr>
  </w:style>
  <w:style w:type="character" w:styleId="Lienhypertexte">
    <w:name w:val="Hyperlink"/>
    <w:basedOn w:val="Policepardfaut"/>
    <w:uiPriority w:val="99"/>
    <w:unhideWhenUsed/>
    <w:rsid w:val="00082C69"/>
    <w:rPr>
      <w:color w:val="0000FF" w:themeColor="hyperlink"/>
      <w:u w:val="single"/>
    </w:rPr>
  </w:style>
  <w:style w:type="paragraph" w:styleId="En-tte">
    <w:name w:val="header"/>
    <w:basedOn w:val="Normal"/>
    <w:link w:val="En-tteCar"/>
    <w:uiPriority w:val="99"/>
    <w:unhideWhenUsed/>
    <w:rsid w:val="00082C69"/>
    <w:pPr>
      <w:tabs>
        <w:tab w:val="center" w:pos="4536"/>
        <w:tab w:val="right" w:pos="9072"/>
      </w:tabs>
    </w:pPr>
  </w:style>
  <w:style w:type="character" w:customStyle="1" w:styleId="En-tteCar">
    <w:name w:val="En-tête Car"/>
    <w:basedOn w:val="Policepardfaut"/>
    <w:link w:val="En-tte"/>
    <w:uiPriority w:val="99"/>
    <w:rsid w:val="00082C69"/>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082C69"/>
    <w:pPr>
      <w:tabs>
        <w:tab w:val="center" w:pos="4536"/>
        <w:tab w:val="right" w:pos="9072"/>
      </w:tabs>
    </w:pPr>
  </w:style>
  <w:style w:type="character" w:customStyle="1" w:styleId="PieddepageCar">
    <w:name w:val="Pied de page Car"/>
    <w:basedOn w:val="Policepardfaut"/>
    <w:link w:val="Pieddepage"/>
    <w:uiPriority w:val="99"/>
    <w:rsid w:val="00082C69"/>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conseils-aux-voyageurs/" TargetMode="External"/><Relationship Id="rId3" Type="http://schemas.openxmlformats.org/officeDocument/2006/relationships/settings" Target="settings.xml"/><Relationship Id="rId7" Type="http://schemas.openxmlformats.org/officeDocument/2006/relationships/hyperlink" Target="http://www.securite-informatique.gouv.f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jlenzi</dc:creator>
  <cp:lastModifiedBy>jlenzi</cp:lastModifiedBy>
  <cp:revision>2</cp:revision>
  <cp:lastPrinted>2014-01-28T17:16:00Z</cp:lastPrinted>
  <dcterms:created xsi:type="dcterms:W3CDTF">2014-02-03T09:46:00Z</dcterms:created>
  <dcterms:modified xsi:type="dcterms:W3CDTF">2014-02-03T09:46:00Z</dcterms:modified>
</cp:coreProperties>
</file>